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12A" w:rsidRDefault="00C8012A" w:rsidP="00C8012A">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Marimaca Copper Rights Offering Notice</w:t>
      </w:r>
    </w:p>
    <w:p w:rsidR="00394A0B" w:rsidRPr="00394A0B" w:rsidRDefault="00394A0B" w:rsidP="00394A0B">
      <w:pPr>
        <w:shd w:val="clear" w:color="auto" w:fill="F8F9FA"/>
        <w:spacing w:before="100" w:beforeAutospacing="1" w:after="100" w:afterAutospacing="1"/>
        <w:rPr>
          <w:rFonts w:ascii="Open Sans" w:eastAsia="Times New Roman" w:hAnsi="Open Sans" w:cs="Open Sans"/>
          <w:color w:val="32353E"/>
          <w:lang w:eastAsia="es-ES_tradnl"/>
        </w:rPr>
      </w:pPr>
      <w:r w:rsidRPr="00394A0B">
        <w:rPr>
          <w:rFonts w:ascii="Open Sans" w:eastAsia="Times New Roman" w:hAnsi="Open Sans" w:cs="Open Sans"/>
          <w:color w:val="32353E"/>
          <w:lang w:eastAsia="es-ES_tradnl"/>
        </w:rPr>
        <w:t>The following notice (the </w:t>
      </w:r>
      <w:r w:rsidRPr="00394A0B">
        <w:rPr>
          <w:rFonts w:ascii="Open Sans" w:eastAsia="Times New Roman" w:hAnsi="Open Sans" w:cs="Open Sans"/>
          <w:b/>
          <w:bCs/>
          <w:color w:val="32353E"/>
          <w:lang w:eastAsia="es-ES_tradnl"/>
        </w:rPr>
        <w:t>"Notice"</w:t>
      </w:r>
      <w:r w:rsidRPr="00394A0B">
        <w:rPr>
          <w:rFonts w:ascii="Open Sans" w:eastAsia="Times New Roman" w:hAnsi="Open Sans" w:cs="Open Sans"/>
          <w:color w:val="32353E"/>
          <w:lang w:eastAsia="es-ES_tradnl"/>
        </w:rPr>
        <w:t>) to holders of common shares of Marimaca Copper Corp. sets out information concerning Coro's rights offering in Q&amp;A format.</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Who can participate in the Offering?</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Marimaca Copper Corp. (</w:t>
      </w:r>
      <w:r w:rsidRPr="00394A0B">
        <w:rPr>
          <w:rFonts w:ascii="Open Sans" w:eastAsia="Times New Roman" w:hAnsi="Open Sans" w:cs="Open Sans"/>
          <w:b/>
          <w:bCs/>
          <w:color w:val="32353E"/>
          <w:shd w:val="clear" w:color="auto" w:fill="F8F9FA"/>
          <w:lang w:eastAsia="es-ES_tradnl"/>
        </w:rPr>
        <w:t>"Coro"</w:t>
      </w:r>
      <w:r w:rsidRPr="00394A0B">
        <w:rPr>
          <w:rFonts w:ascii="Open Sans" w:eastAsia="Times New Roman" w:hAnsi="Open Sans" w:cs="Open Sans"/>
          <w:color w:val="32353E"/>
          <w:shd w:val="clear" w:color="auto" w:fill="F8F9FA"/>
          <w:lang w:eastAsia="es-ES_tradnl"/>
        </w:rPr>
        <w:t> or the </w:t>
      </w:r>
      <w:r w:rsidRPr="00394A0B">
        <w:rPr>
          <w:rFonts w:ascii="Open Sans" w:eastAsia="Times New Roman" w:hAnsi="Open Sans" w:cs="Open Sans"/>
          <w:b/>
          <w:bCs/>
          <w:color w:val="32353E"/>
          <w:shd w:val="clear" w:color="auto" w:fill="F8F9FA"/>
          <w:lang w:eastAsia="es-ES_tradnl"/>
        </w:rPr>
        <w:t>"Corporation"</w:t>
      </w:r>
      <w:r w:rsidRPr="00394A0B">
        <w:rPr>
          <w:rFonts w:ascii="Open Sans" w:eastAsia="Times New Roman" w:hAnsi="Open Sans" w:cs="Open Sans"/>
          <w:color w:val="32353E"/>
          <w:shd w:val="clear" w:color="auto" w:fill="F8F9FA"/>
          <w:lang w:eastAsia="es-ES_tradnl"/>
        </w:rPr>
        <w:t>) is issuing to the holders (the </w:t>
      </w:r>
      <w:r w:rsidRPr="00394A0B">
        <w:rPr>
          <w:rFonts w:ascii="Open Sans" w:eastAsia="Times New Roman" w:hAnsi="Open Sans" w:cs="Open Sans"/>
          <w:b/>
          <w:bCs/>
          <w:color w:val="32353E"/>
          <w:shd w:val="clear" w:color="auto" w:fill="F8F9FA"/>
          <w:lang w:eastAsia="es-ES_tradnl"/>
        </w:rPr>
        <w:t>"Shareholders"</w:t>
      </w:r>
      <w:r w:rsidRPr="00394A0B">
        <w:rPr>
          <w:rFonts w:ascii="Open Sans" w:eastAsia="Times New Roman" w:hAnsi="Open Sans" w:cs="Open Sans"/>
          <w:color w:val="32353E"/>
          <w:shd w:val="clear" w:color="auto" w:fill="F8F9FA"/>
          <w:lang w:eastAsia="es-ES_tradnl"/>
        </w:rPr>
        <w:t>) of its outstanding common shares (the </w:t>
      </w:r>
      <w:r w:rsidRPr="00394A0B">
        <w:rPr>
          <w:rFonts w:ascii="Open Sans" w:eastAsia="Times New Roman" w:hAnsi="Open Sans" w:cs="Open Sans"/>
          <w:b/>
          <w:bCs/>
          <w:color w:val="32353E"/>
          <w:shd w:val="clear" w:color="auto" w:fill="F8F9FA"/>
          <w:lang w:eastAsia="es-ES_tradnl"/>
        </w:rPr>
        <w:t>"Common Shares"</w:t>
      </w:r>
      <w:r w:rsidRPr="00394A0B">
        <w:rPr>
          <w:rFonts w:ascii="Open Sans" w:eastAsia="Times New Roman" w:hAnsi="Open Sans" w:cs="Open Sans"/>
          <w:color w:val="32353E"/>
          <w:shd w:val="clear" w:color="auto" w:fill="F8F9FA"/>
          <w:lang w:eastAsia="es-ES_tradnl"/>
        </w:rPr>
        <w:t>) of record at 5:00 p.m. (Toronto time) on August 22, 2018 (the </w:t>
      </w:r>
      <w:r w:rsidRPr="00394A0B">
        <w:rPr>
          <w:rFonts w:ascii="Open Sans" w:eastAsia="Times New Roman" w:hAnsi="Open Sans" w:cs="Open Sans"/>
          <w:b/>
          <w:bCs/>
          <w:color w:val="32353E"/>
          <w:shd w:val="clear" w:color="auto" w:fill="F8F9FA"/>
          <w:lang w:eastAsia="es-ES_tradnl"/>
        </w:rPr>
        <w:t>"Record Date"</w:t>
      </w:r>
      <w:r w:rsidRPr="00394A0B">
        <w:rPr>
          <w:rFonts w:ascii="Open Sans" w:eastAsia="Times New Roman" w:hAnsi="Open Sans" w:cs="Open Sans"/>
          <w:color w:val="32353E"/>
          <w:shd w:val="clear" w:color="auto" w:fill="F8F9FA"/>
          <w:lang w:eastAsia="es-ES_tradnl"/>
        </w:rPr>
        <w:t>) an aggregate of 783,546,337 rights (each, a </w:t>
      </w:r>
      <w:r w:rsidRPr="00394A0B">
        <w:rPr>
          <w:rFonts w:ascii="Open Sans" w:eastAsia="Times New Roman" w:hAnsi="Open Sans" w:cs="Open Sans"/>
          <w:b/>
          <w:bCs/>
          <w:color w:val="32353E"/>
          <w:shd w:val="clear" w:color="auto" w:fill="F8F9FA"/>
          <w:lang w:eastAsia="es-ES_tradnl"/>
        </w:rPr>
        <w:t>"Right"</w:t>
      </w:r>
      <w:r w:rsidRPr="00394A0B">
        <w:rPr>
          <w:rFonts w:ascii="Open Sans" w:eastAsia="Times New Roman" w:hAnsi="Open Sans" w:cs="Open Sans"/>
          <w:color w:val="32353E"/>
          <w:shd w:val="clear" w:color="auto" w:fill="F8F9FA"/>
          <w:lang w:eastAsia="es-ES_tradnl"/>
        </w:rPr>
        <w:t>) on the terms set forth herein (the </w:t>
      </w:r>
      <w:r w:rsidRPr="00394A0B">
        <w:rPr>
          <w:rFonts w:ascii="Open Sans" w:eastAsia="Times New Roman" w:hAnsi="Open Sans" w:cs="Open Sans"/>
          <w:b/>
          <w:bCs/>
          <w:color w:val="32353E"/>
          <w:shd w:val="clear" w:color="auto" w:fill="F8F9FA"/>
          <w:lang w:eastAsia="es-ES_tradnl"/>
        </w:rPr>
        <w:t>"Offering"</w:t>
      </w:r>
      <w:r w:rsidRPr="00394A0B">
        <w:rPr>
          <w:rFonts w:ascii="Open Sans" w:eastAsia="Times New Roman" w:hAnsi="Open Sans" w:cs="Open Sans"/>
          <w:color w:val="32353E"/>
          <w:shd w:val="clear" w:color="auto" w:fill="F8F9FA"/>
          <w:lang w:eastAsia="es-ES_tradnl"/>
        </w:rPr>
        <w:t>).</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References in this notice to "we", "our", "us" and similar terms mean the Corporation. References in this notice to "you", "your" and similar terms mean the Shareholders.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Who is eligible to receive Rights?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The Offering is being made to Shareholders (the </w:t>
      </w:r>
      <w:r w:rsidRPr="00394A0B">
        <w:rPr>
          <w:rFonts w:ascii="Open Sans" w:eastAsia="Times New Roman" w:hAnsi="Open Sans" w:cs="Open Sans"/>
          <w:b/>
          <w:bCs/>
          <w:color w:val="32353E"/>
          <w:shd w:val="clear" w:color="auto" w:fill="F8F9FA"/>
          <w:lang w:eastAsia="es-ES_tradnl"/>
        </w:rPr>
        <w:t>"Eligible Shareholders"</w:t>
      </w:r>
      <w:r w:rsidRPr="00394A0B">
        <w:rPr>
          <w:rFonts w:ascii="Open Sans" w:eastAsia="Times New Roman" w:hAnsi="Open Sans" w:cs="Open Sans"/>
          <w:color w:val="32353E"/>
          <w:shd w:val="clear" w:color="auto" w:fill="F8F9FA"/>
          <w:lang w:eastAsia="es-ES_tradnl"/>
        </w:rPr>
        <w:t>) resident in: (a) the provinces and territories of Canada; and (b) the United States, excluding the states of Arizona, Arkansas, California, Minnesota, Ohio and Wisconsin (collectively the </w:t>
      </w:r>
      <w:r w:rsidRPr="00394A0B">
        <w:rPr>
          <w:rFonts w:ascii="Open Sans" w:eastAsia="Times New Roman" w:hAnsi="Open Sans" w:cs="Open Sans"/>
          <w:b/>
          <w:bCs/>
          <w:color w:val="32353E"/>
          <w:shd w:val="clear" w:color="auto" w:fill="F8F9FA"/>
          <w:lang w:eastAsia="es-ES_tradnl"/>
        </w:rPr>
        <w:t>"Eligible Jurisdictions"</w:t>
      </w:r>
      <w:r w:rsidRPr="00394A0B">
        <w:rPr>
          <w:rFonts w:ascii="Open Sans" w:eastAsia="Times New Roman" w:hAnsi="Open Sans" w:cs="Open Sans"/>
          <w:color w:val="32353E"/>
          <w:shd w:val="clear" w:color="auto" w:fill="F8F9FA"/>
          <w:lang w:eastAsia="es-ES_tradnl"/>
        </w:rPr>
        <w:t>).</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You will be presumed to be resident in the place shown in our records as your registered address, unless the contrary is shown to our satisfaction.</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This Notice is not to be construed as an offering of the Rights, nor are the Common Shares issuable upon exercise of the Rights, offered for sale in any jurisdiction outside the Eligible Jurisdictions or to Shareholders who are residents of any jurisdiction other than the Eligible Jurisdictions (</w:t>
      </w:r>
      <w:r w:rsidRPr="00394A0B">
        <w:rPr>
          <w:rFonts w:ascii="Open Sans" w:eastAsia="Times New Roman" w:hAnsi="Open Sans" w:cs="Open Sans"/>
          <w:b/>
          <w:bCs/>
          <w:color w:val="32353E"/>
          <w:shd w:val="clear" w:color="auto" w:fill="F8F9FA"/>
          <w:lang w:eastAsia="es-ES_tradnl"/>
        </w:rPr>
        <w:t>"Ineligible Shareholders"</w:t>
      </w:r>
      <w:r w:rsidRPr="00394A0B">
        <w:rPr>
          <w:rFonts w:ascii="Open Sans" w:eastAsia="Times New Roman" w:hAnsi="Open Sans" w:cs="Open Sans"/>
          <w:color w:val="32353E"/>
          <w:shd w:val="clear" w:color="auto" w:fill="F8F9FA"/>
          <w:lang w:eastAsia="es-ES_tradnl"/>
        </w:rPr>
        <w:t>). Instead, Ineligible Shareholders will be sent a letter advising them that their Rights will be held by Computershare Investor Services Inc. (the </w:t>
      </w:r>
      <w:r w:rsidRPr="00394A0B">
        <w:rPr>
          <w:rFonts w:ascii="Open Sans" w:eastAsia="Times New Roman" w:hAnsi="Open Sans" w:cs="Open Sans"/>
          <w:b/>
          <w:bCs/>
          <w:color w:val="32353E"/>
          <w:shd w:val="clear" w:color="auto" w:fill="F8F9FA"/>
          <w:lang w:eastAsia="es-ES_tradnl"/>
        </w:rPr>
        <w:t>"Rights Agent"</w:t>
      </w:r>
      <w:r w:rsidRPr="00394A0B">
        <w:rPr>
          <w:rFonts w:ascii="Open Sans" w:eastAsia="Times New Roman" w:hAnsi="Open Sans" w:cs="Open Sans"/>
          <w:color w:val="32353E"/>
          <w:shd w:val="clear" w:color="auto" w:fill="F8F9FA"/>
          <w:lang w:eastAsia="es-ES_tradnl"/>
        </w:rPr>
        <w:t>), who will hold such Rights as agent for the benefit of all such Ineligible Shareholders.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 xml:space="preserve">The Corporation will accept subscriptions from Ineligible Shareholders or transferees if such Ineligible Shareholders or transferees satisfy the Corporation, through the delivery of an opinion of counsel in such Ineligible Shareholders' jurisdiction of good standing not less than 7 days before the Expiry Date (and if the 7th day prior to the Expiry Date is a Saturday, Sunday or </w:t>
      </w:r>
      <w:r w:rsidRPr="00394A0B">
        <w:rPr>
          <w:rFonts w:ascii="Open Sans" w:eastAsia="Times New Roman" w:hAnsi="Open Sans" w:cs="Open Sans"/>
          <w:color w:val="32353E"/>
          <w:shd w:val="clear" w:color="auto" w:fill="F8F9FA"/>
          <w:lang w:eastAsia="es-ES_tradnl"/>
        </w:rPr>
        <w:lastRenderedPageBreak/>
        <w:t>statutory holiday in the Toronto, Ontario, then such date shall be deemed to be the next business day following the 7th day prior to the Expiry Date), that the receipt by such Ineligible Shareholder or transferee of the Rights in the Offering and subscription by such Ineligible Shareholder or transferee and issuance to it of the Common Shares on exercise of the Rights is lawful and : (a) will not violate the laws of their jurisdiction of residence or other applicable jurisdiction, and (b) will not impose any requirement on the Corporation to comply with legal requirements in their jurisdiction of residence or other applicable jurisdiction other than those being complied with for the offering of Rights in the Eligible Jurisdictions.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If an Ineligible Shareholder does not satisfy the Corporation as to their eligibility to participate in the Offering on or before 7th day prior to the Expiry Date, the Rights Agent will, prior to the Expiry Time attempt to sell such Rights on the Toronto Stock Exchange, on a best efforts basis. The proceeds received by the Rights Agent, if any, from the sale of the Rights delivered to it, net of any applicable costs, expenses and taxes will be divided among the Ineligible Shareholders who do not satisfy the Corporation as to their eligibility to participate in the Offering on or before the 7th day prior to the Expiry Date on a pro rata basis according to the total number of Common Shares held by them.</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How many Rights is Marimaca Copperoffering?</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Marimaca Copperis offering a total of 783,546,337 Rights to purchase an aggregate of up to 671,591,957 Common Shares.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How many Rights will you receive?</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A Shareholder on the Record Date will receive one Right for each Common Share owned by the Shareholder.</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What do Rights entitle you to receive?</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Each 1.1667 Rights entitles a Eligible Shareholder to subscribe for one Common Share at a subscription price of $0.05 per Common Share (the </w:t>
      </w:r>
      <w:r w:rsidRPr="00394A0B">
        <w:rPr>
          <w:rFonts w:ascii="Open Sans" w:eastAsia="Times New Roman" w:hAnsi="Open Sans" w:cs="Open Sans"/>
          <w:b/>
          <w:bCs/>
          <w:color w:val="32353E"/>
          <w:shd w:val="clear" w:color="auto" w:fill="F8F9FA"/>
          <w:lang w:eastAsia="es-ES_tradnl"/>
        </w:rPr>
        <w:t>"Basic Subscription Privilege"</w:t>
      </w:r>
      <w:r w:rsidRPr="00394A0B">
        <w:rPr>
          <w:rFonts w:ascii="Open Sans" w:eastAsia="Times New Roman" w:hAnsi="Open Sans" w:cs="Open Sans"/>
          <w:color w:val="32353E"/>
          <w:shd w:val="clear" w:color="auto" w:fill="F8F9FA"/>
          <w:lang w:eastAsia="es-ES_tradnl"/>
        </w:rPr>
        <w:t>) until 5:00 p.m. (Toronto time) (the </w:t>
      </w:r>
      <w:r w:rsidRPr="00394A0B">
        <w:rPr>
          <w:rFonts w:ascii="Open Sans" w:eastAsia="Times New Roman" w:hAnsi="Open Sans" w:cs="Open Sans"/>
          <w:b/>
          <w:bCs/>
          <w:color w:val="32353E"/>
          <w:shd w:val="clear" w:color="auto" w:fill="F8F9FA"/>
          <w:lang w:eastAsia="es-ES_tradnl"/>
        </w:rPr>
        <w:t>"Expiry Time"</w:t>
      </w:r>
      <w:r w:rsidRPr="00394A0B">
        <w:rPr>
          <w:rFonts w:ascii="Open Sans" w:eastAsia="Times New Roman" w:hAnsi="Open Sans" w:cs="Open Sans"/>
          <w:color w:val="32353E"/>
          <w:shd w:val="clear" w:color="auto" w:fill="F8F9FA"/>
          <w:lang w:eastAsia="es-ES_tradnl"/>
        </w:rPr>
        <w:t>) on September 20, 2018 (the </w:t>
      </w:r>
      <w:r w:rsidRPr="00394A0B">
        <w:rPr>
          <w:rFonts w:ascii="Open Sans" w:eastAsia="Times New Roman" w:hAnsi="Open Sans" w:cs="Open Sans"/>
          <w:b/>
          <w:bCs/>
          <w:color w:val="32353E"/>
          <w:shd w:val="clear" w:color="auto" w:fill="F8F9FA"/>
          <w:lang w:eastAsia="es-ES_tradnl"/>
        </w:rPr>
        <w:t>"Expiry Date"</w:t>
      </w:r>
      <w:r w:rsidRPr="00394A0B">
        <w:rPr>
          <w:rFonts w:ascii="Open Sans" w:eastAsia="Times New Roman" w:hAnsi="Open Sans" w:cs="Open Sans"/>
          <w:color w:val="32353E"/>
          <w:shd w:val="clear" w:color="auto" w:fill="F8F9FA"/>
          <w:lang w:eastAsia="es-ES_tradnl"/>
        </w:rPr>
        <w:t>). No fractional Common Shares will be issued. Where the exercise of Rights would appear to entitle a holder of Rights to receive fractional Common Shares, the holder's entitlement will be reduced to the next lowest whole number of Common Shares.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Any Shareholder who exercises all of their Rights under the Basic Subscription Privilege will also have the additional privilege of subscribing, pro rata, for additional Common Shares at the subscription price (the </w:t>
      </w:r>
      <w:r w:rsidRPr="00394A0B">
        <w:rPr>
          <w:rFonts w:ascii="Open Sans" w:eastAsia="Times New Roman" w:hAnsi="Open Sans" w:cs="Open Sans"/>
          <w:b/>
          <w:bCs/>
          <w:color w:val="32353E"/>
          <w:shd w:val="clear" w:color="auto" w:fill="F8F9FA"/>
          <w:lang w:eastAsia="es-ES_tradnl"/>
        </w:rPr>
        <w:t>"Additional Subscription Privilege"</w:t>
      </w:r>
      <w:r w:rsidRPr="00394A0B">
        <w:rPr>
          <w:rFonts w:ascii="Open Sans" w:eastAsia="Times New Roman" w:hAnsi="Open Sans" w:cs="Open Sans"/>
          <w:color w:val="32353E"/>
          <w:shd w:val="clear" w:color="auto" w:fill="F8F9FA"/>
          <w:lang w:eastAsia="es-ES_tradnl"/>
        </w:rPr>
        <w:t xml:space="preserve">). The Common Shares available under the Additional Subscription Privilege will be those Common Shares issuable under the Rights </w:t>
      </w:r>
      <w:r w:rsidRPr="00394A0B">
        <w:rPr>
          <w:rFonts w:ascii="Open Sans" w:eastAsia="Times New Roman" w:hAnsi="Open Sans" w:cs="Open Sans"/>
          <w:color w:val="32353E"/>
          <w:shd w:val="clear" w:color="auto" w:fill="F8F9FA"/>
          <w:lang w:eastAsia="es-ES_tradnl"/>
        </w:rPr>
        <w:lastRenderedPageBreak/>
        <w:t>Offering that have not been subscribed and paid for under the Basic Subscription Privilege by the Expiry Time.</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Any Eligible Shareholder who exercises its Rights must enclose payment in Canadian funds by certified cheque, bank draft or money order payable to the order of Computershare Investor Services Inc.</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How will you receive your Rights?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color w:val="32353E"/>
          <w:shd w:val="clear" w:color="auto" w:fill="F8F9FA"/>
          <w:lang w:eastAsia="es-ES_tradnl"/>
        </w:rPr>
        <w:t>Registered Eligible Shareholders:</w:t>
      </w:r>
      <w:r w:rsidRPr="00394A0B">
        <w:rPr>
          <w:rFonts w:ascii="Open Sans" w:eastAsia="Times New Roman" w:hAnsi="Open Sans" w:cs="Open Sans"/>
          <w:color w:val="32353E"/>
          <w:shd w:val="clear" w:color="auto" w:fill="F8F9FA"/>
          <w:lang w:eastAsia="es-ES_tradnl"/>
        </w:rPr>
        <w:t> If you are a registered Eligible Shareholder of Common Shares, a certificate (a </w:t>
      </w:r>
      <w:r w:rsidRPr="00394A0B">
        <w:rPr>
          <w:rFonts w:ascii="Open Sans" w:eastAsia="Times New Roman" w:hAnsi="Open Sans" w:cs="Open Sans"/>
          <w:b/>
          <w:bCs/>
          <w:color w:val="32353E"/>
          <w:shd w:val="clear" w:color="auto" w:fill="F8F9FA"/>
          <w:lang w:eastAsia="es-ES_tradnl"/>
        </w:rPr>
        <w:t>"Rights Certificate"</w:t>
      </w:r>
      <w:r w:rsidRPr="00394A0B">
        <w:rPr>
          <w:rFonts w:ascii="Open Sans" w:eastAsia="Times New Roman" w:hAnsi="Open Sans" w:cs="Open Sans"/>
          <w:color w:val="32353E"/>
          <w:shd w:val="clear" w:color="auto" w:fill="F8F9FA"/>
          <w:lang w:eastAsia="es-ES_tradnl"/>
        </w:rPr>
        <w:t>) representing the total number of Rights that you are entitled to as of the Record Date is enclosed with this notice.</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color w:val="32353E"/>
          <w:shd w:val="clear" w:color="auto" w:fill="F8F9FA"/>
          <w:lang w:eastAsia="es-ES_tradnl"/>
        </w:rPr>
        <w:t>Beneficial Eligible Shareholders:</w:t>
      </w:r>
      <w:r w:rsidRPr="00394A0B">
        <w:rPr>
          <w:rFonts w:ascii="Open Sans" w:eastAsia="Times New Roman" w:hAnsi="Open Sans" w:cs="Open Sans"/>
          <w:color w:val="32353E"/>
          <w:shd w:val="clear" w:color="auto" w:fill="F8F9FA"/>
          <w:lang w:eastAsia="es-ES_tradnl"/>
        </w:rPr>
        <w:t> You are a beneficial holder of Common Shares if you hold your Common Shares through a securities broker or dealer, bank or trust company or other participant (a </w:t>
      </w:r>
      <w:r w:rsidRPr="00394A0B">
        <w:rPr>
          <w:rFonts w:ascii="Open Sans" w:eastAsia="Times New Roman" w:hAnsi="Open Sans" w:cs="Open Sans"/>
          <w:b/>
          <w:bCs/>
          <w:color w:val="32353E"/>
          <w:shd w:val="clear" w:color="auto" w:fill="F8F9FA"/>
          <w:lang w:eastAsia="es-ES_tradnl"/>
        </w:rPr>
        <w:t>"Participant"</w:t>
      </w:r>
      <w:r w:rsidRPr="00394A0B">
        <w:rPr>
          <w:rFonts w:ascii="Open Sans" w:eastAsia="Times New Roman" w:hAnsi="Open Sans" w:cs="Open Sans"/>
          <w:color w:val="32353E"/>
          <w:shd w:val="clear" w:color="auto" w:fill="F8F9FA"/>
          <w:lang w:eastAsia="es-ES_tradnl"/>
        </w:rPr>
        <w:t>) in the book-based system administered by CDS Clearing and Depository Services Inc. (</w:t>
      </w:r>
      <w:r w:rsidRPr="00394A0B">
        <w:rPr>
          <w:rFonts w:ascii="Open Sans" w:eastAsia="Times New Roman" w:hAnsi="Open Sans" w:cs="Open Sans"/>
          <w:b/>
          <w:bCs/>
          <w:color w:val="32353E"/>
          <w:shd w:val="clear" w:color="auto" w:fill="F8F9FA"/>
          <w:lang w:eastAsia="es-ES_tradnl"/>
        </w:rPr>
        <w:t>"CDS"</w:t>
      </w:r>
      <w:r w:rsidRPr="00394A0B">
        <w:rPr>
          <w:rFonts w:ascii="Open Sans" w:eastAsia="Times New Roman" w:hAnsi="Open Sans" w:cs="Open Sans"/>
          <w:color w:val="32353E"/>
          <w:shd w:val="clear" w:color="auto" w:fill="F8F9FA"/>
          <w:lang w:eastAsia="es-ES_tradnl"/>
        </w:rPr>
        <w:t>). The total number of Rights to which all beneficial Eligible Shareholders as of the Record Date are entitled will be issued to and deposited with CDS following the Record Date. If you are a beneficial Shareholder, we expect you will receive a confirmation of the number of Rights issued to you from the applicable Participant in accordance with the practices and procedures of that Participant. CDS will be responsible for establishing and maintaining book-entry accounts for Participants holding Rights.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When and how can you exercise your Rights?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The period to exercise the Rights expires at the Expiry Time on the Expiry Date.</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For Common Shares held through a Participant in the book-based system administered by CDS, a subscriber may subscribe for Common Shares by instructing the Participant holding the subscriber's Rights to exercise all or a specified number of such Rights and forwarding the subscription price for each Common Shares subscribed for to such Participant in accordance with the terms of the Offering. A subscriber wishing to subscribe for additional Common Shares, if available, must exercise the Basic Subscription Privilege and forward its request to the Participant that holds the subscriber's Rights prior to the Expiry Time, along with payment for the number of additional Common Shares requested. Any excess funds will be returned by mail or credited to the subscriber's account with its Participant without interest or deduction. Subscriptions for Common Shares made through a Participant will be irrevocable and subscribers will be unable to withdraw their subscriptions for Common Shares once submitted. Participants may have an earlier deadline for receipt of instructions and payment than the Expiry Time.</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lastRenderedPageBreak/>
        <w:t>Only registered Eligible Shareholders will be provided with Rights Certificates. For all non-registered, beneficial Eligible Shareholders of the Corporation who hold their Common Shares through a Participant in the book-based systems administered by CDS, a global certificate representing the total number of Rights to which all such Eligible Shareholders as at the Record Date are entitled will be issued in registered form to, and deposited with, CDS. The Corporation expects that each beneficial Eligible Shareholder will receive a confirmation of the number of Rights issued to it from its Participant in accordance with the practices and procedures of that Participant. CDS will be responsible for establishing and maintaining book-entry accounts for Participants holding Rights.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Eligible Shareholders who hold their Common Shares through a Participant must arrange for exercises, purchases or transfers of Rights through their Participant and should contact the Participant to instruct them accordingly. It is anticipated by the Corporation that each purchaser of Common Shares will receive a customer confirmation of issuance or purchase, as applicable, from the CDS Participant through which such Common Shares are issued or such Rights or Common Shares are purchased in accordance with the practices and policies of such Participant.</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The Rights are not transferable in the United States and may be transferred only in transactions outside of the United States in accordance with Regulation S under the United States Securities Act of 1933, as amended, which will permit the resale of the Rights by persons through the facilities of the TSX as described in the right offering circular.</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i/>
          <w:iCs/>
          <w:color w:val="32353E"/>
          <w:shd w:val="clear" w:color="auto" w:fill="F8F9FA"/>
          <w:lang w:eastAsia="es-ES_tradnl"/>
        </w:rPr>
        <w:t>What are the next steps?</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This document contains key information you should know about Marimaca Copper. You can find more details in the Corporation's rights offering circular. To obtain a copy, visit the Corporation's profile on the SEDAR website (www.sedar.com) or visit www.coromining.com. You should read the rights offering circular, along with the Corporation's continuous disclosure record, to make an informed decision.</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Inquiries relating to this Offering should be directed to:</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color w:val="32353E"/>
          <w:shd w:val="clear" w:color="auto" w:fill="F8F9FA"/>
          <w:lang w:eastAsia="es-ES_tradnl"/>
        </w:rPr>
        <w:t>- Marimaca Copper Corp.:</w:t>
      </w:r>
      <w:r w:rsidRPr="00394A0B">
        <w:rPr>
          <w:rFonts w:ascii="Open Sans" w:eastAsia="Times New Roman" w:hAnsi="Open Sans" w:cs="Open Sans"/>
          <w:color w:val="32353E"/>
          <w:shd w:val="clear" w:color="auto" w:fill="F8F9FA"/>
          <w:lang w:eastAsia="es-ES_tradnl"/>
        </w:rPr>
        <w:t> Nicholas Bias, Vice President Corporate Development &amp; Investor Relations, at: nbias@coromining.com; or</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color w:val="32353E"/>
          <w:shd w:val="clear" w:color="auto" w:fill="F8F9FA"/>
          <w:lang w:eastAsia="es-ES_tradnl"/>
        </w:rPr>
        <w:t>- Computershare Investor Services Inc. (Rights Agent): </w:t>
      </w:r>
      <w:r w:rsidRPr="00394A0B">
        <w:rPr>
          <w:rFonts w:ascii="Open Sans" w:eastAsia="Times New Roman" w:hAnsi="Open Sans" w:cs="Open Sans"/>
          <w:color w:val="32353E"/>
          <w:shd w:val="clear" w:color="auto" w:fill="F8F9FA"/>
          <w:lang w:eastAsia="es-ES_tradnl"/>
        </w:rPr>
        <w:t>1-800-564-6253 (North America); 1-514- 982-7555 (International); corporateactions@computershare.com.</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lastRenderedPageBreak/>
        <w:t>Shareholders in the United States should also review the Corporation's Registration Statement on Form F- 7, which will be filed with the United States Securities and Exchange Commission, which can be found at www.sec.gov.</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b/>
          <w:bCs/>
          <w:color w:val="32353E"/>
          <w:shd w:val="clear" w:color="auto" w:fill="F8F9FA"/>
          <w:lang w:eastAsia="es-ES_tradnl"/>
        </w:rPr>
        <w:t>Marimaca Copper Corporation</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Per: Luis Albano Tondo</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President &amp; Chief Executive Officer</w:t>
      </w:r>
    </w:p>
    <w:p w:rsidR="00394A0B" w:rsidRPr="00394A0B" w:rsidRDefault="00394A0B" w:rsidP="00394A0B">
      <w:pPr>
        <w:rPr>
          <w:rFonts w:ascii="Times New Roman" w:eastAsia="Times New Roman" w:hAnsi="Times New Roman" w:cs="Times New Roman"/>
          <w:lang w:eastAsia="es-ES_tradnl"/>
        </w:rPr>
      </w:pPr>
      <w:r w:rsidRPr="00394A0B">
        <w:rPr>
          <w:rFonts w:ascii="Open Sans" w:eastAsia="Times New Roman" w:hAnsi="Open Sans" w:cs="Open Sans"/>
          <w:color w:val="32353E"/>
          <w:shd w:val="clear" w:color="auto" w:fill="F8F9FA"/>
          <w:lang w:eastAsia="es-ES_tradnl"/>
        </w:rPr>
        <w:t>August 13, 2018</w:t>
      </w:r>
    </w:p>
    <w:p w:rsidR="00F4665C" w:rsidRDefault="00F4665C" w:rsidP="00394A0B">
      <w:pPr>
        <w:shd w:val="clear" w:color="auto" w:fill="F8F9FA"/>
        <w:spacing w:before="100" w:beforeAutospacing="1" w:after="100" w:afterAutospacing="1"/>
        <w:rPr>
          <w:rFonts w:ascii="Open Sans" w:hAnsi="Open Sans" w:cs="Open Sans"/>
          <w:color w:val="88300C"/>
          <w:sz w:val="60"/>
          <w:szCs w:val="60"/>
        </w:rPr>
      </w:pPr>
    </w:p>
    <w:sectPr w:rsidR="00F4665C"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81"/>
    <w:rsid w:val="000D0BAA"/>
    <w:rsid w:val="00394A0B"/>
    <w:rsid w:val="00750D13"/>
    <w:rsid w:val="007C426B"/>
    <w:rsid w:val="00C8012A"/>
    <w:rsid w:val="00DD5C6F"/>
    <w:rsid w:val="00EC3381"/>
    <w:rsid w:val="00F466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25BF214"/>
  <w15:chartTrackingRefBased/>
  <w15:docId w15:val="{FC261E04-5014-1441-B35A-D12F731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C338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381"/>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EC3381"/>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C3381"/>
    <w:rPr>
      <w:i/>
      <w:iCs/>
    </w:rPr>
  </w:style>
  <w:style w:type="character" w:styleId="Hipervnculo">
    <w:name w:val="Hyperlink"/>
    <w:basedOn w:val="Fuentedeprrafopredeter"/>
    <w:uiPriority w:val="99"/>
    <w:semiHidden/>
    <w:unhideWhenUsed/>
    <w:rsid w:val="00EC3381"/>
    <w:rPr>
      <w:color w:val="0000FF"/>
      <w:u w:val="single"/>
    </w:rPr>
  </w:style>
  <w:style w:type="character" w:styleId="Textoennegrita">
    <w:name w:val="Strong"/>
    <w:basedOn w:val="Fuentedeprrafopredeter"/>
    <w:uiPriority w:val="22"/>
    <w:qFormat/>
    <w:rsid w:val="00394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3645">
      <w:bodyDiv w:val="1"/>
      <w:marLeft w:val="0"/>
      <w:marRight w:val="0"/>
      <w:marTop w:val="0"/>
      <w:marBottom w:val="0"/>
      <w:divBdr>
        <w:top w:val="none" w:sz="0" w:space="0" w:color="auto"/>
        <w:left w:val="none" w:sz="0" w:space="0" w:color="auto"/>
        <w:bottom w:val="none" w:sz="0" w:space="0" w:color="auto"/>
        <w:right w:val="none" w:sz="0" w:space="0" w:color="auto"/>
      </w:divBdr>
    </w:div>
    <w:div w:id="519241818">
      <w:bodyDiv w:val="1"/>
      <w:marLeft w:val="0"/>
      <w:marRight w:val="0"/>
      <w:marTop w:val="0"/>
      <w:marBottom w:val="0"/>
      <w:divBdr>
        <w:top w:val="none" w:sz="0" w:space="0" w:color="auto"/>
        <w:left w:val="none" w:sz="0" w:space="0" w:color="auto"/>
        <w:bottom w:val="none" w:sz="0" w:space="0" w:color="auto"/>
        <w:right w:val="none" w:sz="0" w:space="0" w:color="auto"/>
      </w:divBdr>
    </w:div>
    <w:div w:id="521941303">
      <w:bodyDiv w:val="1"/>
      <w:marLeft w:val="0"/>
      <w:marRight w:val="0"/>
      <w:marTop w:val="0"/>
      <w:marBottom w:val="0"/>
      <w:divBdr>
        <w:top w:val="none" w:sz="0" w:space="0" w:color="auto"/>
        <w:left w:val="none" w:sz="0" w:space="0" w:color="auto"/>
        <w:bottom w:val="none" w:sz="0" w:space="0" w:color="auto"/>
        <w:right w:val="none" w:sz="0" w:space="0" w:color="auto"/>
      </w:divBdr>
    </w:div>
    <w:div w:id="1200316391">
      <w:bodyDiv w:val="1"/>
      <w:marLeft w:val="0"/>
      <w:marRight w:val="0"/>
      <w:marTop w:val="0"/>
      <w:marBottom w:val="0"/>
      <w:divBdr>
        <w:top w:val="none" w:sz="0" w:space="0" w:color="auto"/>
        <w:left w:val="none" w:sz="0" w:space="0" w:color="auto"/>
        <w:bottom w:val="none" w:sz="0" w:space="0" w:color="auto"/>
        <w:right w:val="none" w:sz="0" w:space="0" w:color="auto"/>
      </w:divBdr>
    </w:div>
    <w:div w:id="1205828424">
      <w:bodyDiv w:val="1"/>
      <w:marLeft w:val="0"/>
      <w:marRight w:val="0"/>
      <w:marTop w:val="0"/>
      <w:marBottom w:val="0"/>
      <w:divBdr>
        <w:top w:val="none" w:sz="0" w:space="0" w:color="auto"/>
        <w:left w:val="none" w:sz="0" w:space="0" w:color="auto"/>
        <w:bottom w:val="none" w:sz="0" w:space="0" w:color="auto"/>
        <w:right w:val="none" w:sz="0" w:space="0" w:color="auto"/>
      </w:divBdr>
    </w:div>
    <w:div w:id="1608778237">
      <w:bodyDiv w:val="1"/>
      <w:marLeft w:val="0"/>
      <w:marRight w:val="0"/>
      <w:marTop w:val="0"/>
      <w:marBottom w:val="0"/>
      <w:divBdr>
        <w:top w:val="none" w:sz="0" w:space="0" w:color="auto"/>
        <w:left w:val="none" w:sz="0" w:space="0" w:color="auto"/>
        <w:bottom w:val="none" w:sz="0" w:space="0" w:color="auto"/>
        <w:right w:val="none" w:sz="0" w:space="0" w:color="auto"/>
      </w:divBdr>
    </w:div>
    <w:div w:id="1791895969">
      <w:bodyDiv w:val="1"/>
      <w:marLeft w:val="0"/>
      <w:marRight w:val="0"/>
      <w:marTop w:val="0"/>
      <w:marBottom w:val="0"/>
      <w:divBdr>
        <w:top w:val="none" w:sz="0" w:space="0" w:color="auto"/>
        <w:left w:val="none" w:sz="0" w:space="0" w:color="auto"/>
        <w:bottom w:val="none" w:sz="0" w:space="0" w:color="auto"/>
        <w:right w:val="none" w:sz="0" w:space="0" w:color="auto"/>
      </w:divBdr>
    </w:div>
    <w:div w:id="1850673741">
      <w:bodyDiv w:val="1"/>
      <w:marLeft w:val="0"/>
      <w:marRight w:val="0"/>
      <w:marTop w:val="0"/>
      <w:marBottom w:val="0"/>
      <w:divBdr>
        <w:top w:val="none" w:sz="0" w:space="0" w:color="auto"/>
        <w:left w:val="none" w:sz="0" w:space="0" w:color="auto"/>
        <w:bottom w:val="none" w:sz="0" w:space="0" w:color="auto"/>
        <w:right w:val="none" w:sz="0" w:space="0" w:color="auto"/>
      </w:divBdr>
    </w:div>
    <w:div w:id="1933122742">
      <w:bodyDiv w:val="1"/>
      <w:marLeft w:val="0"/>
      <w:marRight w:val="0"/>
      <w:marTop w:val="0"/>
      <w:marBottom w:val="0"/>
      <w:divBdr>
        <w:top w:val="none" w:sz="0" w:space="0" w:color="auto"/>
        <w:left w:val="none" w:sz="0" w:space="0" w:color="auto"/>
        <w:bottom w:val="none" w:sz="0" w:space="0" w:color="auto"/>
        <w:right w:val="none" w:sz="0" w:space="0" w:color="auto"/>
      </w:divBdr>
    </w:div>
    <w:div w:id="2034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8691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2020-09-30T19:20:00Z</dcterms:created>
  <dcterms:modified xsi:type="dcterms:W3CDTF">2020-09-30T19:20:00Z</dcterms:modified>
</cp:coreProperties>
</file>