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665C" w:rsidRDefault="00F4665C" w:rsidP="00F4665C">
      <w:pPr>
        <w:pStyle w:val="Ttulo1"/>
        <w:spacing w:before="300" w:beforeAutospacing="0" w:after="75" w:afterAutospacing="0"/>
        <w:rPr>
          <w:rFonts w:ascii="Open Sans" w:hAnsi="Open Sans" w:cs="Open Sans"/>
          <w:color w:val="88300C"/>
          <w:sz w:val="60"/>
          <w:szCs w:val="60"/>
        </w:rPr>
      </w:pPr>
      <w:r>
        <w:rPr>
          <w:rFonts w:ascii="Open Sans" w:hAnsi="Open Sans" w:cs="Open Sans"/>
          <w:color w:val="88300C"/>
          <w:sz w:val="60"/>
          <w:szCs w:val="60"/>
        </w:rPr>
        <w:t>Coro Announces Election of Directors and Results from Annual General and Special Meeting</w:t>
      </w:r>
    </w:p>
    <w:p w:rsidR="00F4665C" w:rsidRPr="00F4665C" w:rsidRDefault="00F4665C" w:rsidP="00F4665C">
      <w:pPr>
        <w:shd w:val="clear" w:color="auto" w:fill="F8F9FA"/>
        <w:spacing w:before="100" w:beforeAutospacing="1" w:after="100" w:afterAutospacing="1"/>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Vancouver, B.C. July 8, 2014 - Marimaca Copper Corp. (TSX: COP) (“Coro”, the “Company”) is pleased to report that all of the nominees listed in its information circular dated June 3, 2014 were elected as directors of Marimaca Copperat the Company’s annual general and special meeting of shareholders held in Vancouver, Tuesday, July 8, 2014 (the “Meeting”).</w:t>
      </w:r>
      <w:r w:rsidRPr="00F4665C">
        <w:rPr>
          <w:rFonts w:ascii="Open Sans" w:eastAsia="Times New Roman" w:hAnsi="Open Sans" w:cs="Open Sans"/>
          <w:color w:val="32353E"/>
          <w:lang w:eastAsia="es-ES_tradnl"/>
        </w:rPr>
        <w:br/>
      </w:r>
      <w:r w:rsidRPr="00F4665C">
        <w:rPr>
          <w:rFonts w:ascii="Open Sans" w:eastAsia="Times New Roman" w:hAnsi="Open Sans" w:cs="Open Sans"/>
          <w:color w:val="32353E"/>
          <w:lang w:eastAsia="es-ES_tradnl"/>
        </w:rPr>
        <w:br/>
        <w:t>The detailed results of the vote by ballot are listed below.</w:t>
      </w:r>
    </w:p>
    <w:tbl>
      <w:tblPr>
        <w:tblW w:w="4000" w:type="pct"/>
        <w:jc w:val="center"/>
        <w:shd w:val="clear" w:color="auto" w:fill="F8F9FA"/>
        <w:tblCellMar>
          <w:top w:w="80" w:type="dxa"/>
          <w:left w:w="80" w:type="dxa"/>
          <w:bottom w:w="80" w:type="dxa"/>
          <w:right w:w="80" w:type="dxa"/>
        </w:tblCellMar>
        <w:tblLook w:val="04A0" w:firstRow="1" w:lastRow="0" w:firstColumn="1" w:lastColumn="0" w:noHBand="0" w:noVBand="1"/>
      </w:tblPr>
      <w:tblGrid>
        <w:gridCol w:w="3205"/>
        <w:gridCol w:w="1898"/>
        <w:gridCol w:w="1967"/>
      </w:tblGrid>
      <w:tr w:rsidR="00F4665C" w:rsidRPr="00F4665C" w:rsidTr="00F4665C">
        <w:trPr>
          <w:jc w:val="center"/>
        </w:trPr>
        <w:tc>
          <w:tcPr>
            <w:tcW w:w="0" w:type="auto"/>
            <w:shd w:val="clear" w:color="auto" w:fill="F8F9FA"/>
            <w:vAlign w:val="bottom"/>
            <w:hideMark/>
          </w:tcPr>
          <w:p w:rsidR="00F4665C" w:rsidRPr="00F4665C" w:rsidRDefault="00F4665C" w:rsidP="00F4665C">
            <w:pPr>
              <w:rPr>
                <w:rFonts w:ascii="Open Sans" w:eastAsia="Times New Roman" w:hAnsi="Open Sans" w:cs="Open Sans"/>
                <w:color w:val="32353E"/>
                <w:lang w:eastAsia="es-ES_tradnl"/>
              </w:rPr>
            </w:pPr>
          </w:p>
        </w:tc>
        <w:tc>
          <w:tcPr>
            <w:tcW w:w="0" w:type="auto"/>
            <w:shd w:val="clear" w:color="auto" w:fill="F8F9FA"/>
            <w:vAlign w:val="bottom"/>
            <w:hideMark/>
          </w:tcPr>
          <w:p w:rsidR="00F4665C" w:rsidRPr="00F4665C" w:rsidRDefault="00F4665C" w:rsidP="00F4665C">
            <w:pPr>
              <w:jc w:val="center"/>
              <w:rPr>
                <w:rFonts w:ascii="Open Sans" w:eastAsia="Times New Roman" w:hAnsi="Open Sans" w:cs="Open Sans"/>
                <w:color w:val="32353E"/>
                <w:lang w:eastAsia="es-ES_tradnl"/>
              </w:rPr>
            </w:pPr>
            <w:r w:rsidRPr="00F4665C">
              <w:rPr>
                <w:rFonts w:ascii="Open Sans" w:eastAsia="Times New Roman" w:hAnsi="Open Sans" w:cs="Open Sans"/>
                <w:b/>
                <w:bCs/>
                <w:color w:val="32353E"/>
                <w:lang w:eastAsia="es-ES_tradnl"/>
              </w:rPr>
              <w:t>FOR</w:t>
            </w:r>
          </w:p>
        </w:tc>
        <w:tc>
          <w:tcPr>
            <w:tcW w:w="0" w:type="auto"/>
            <w:shd w:val="clear" w:color="auto" w:fill="F8F9FA"/>
            <w:vAlign w:val="bottom"/>
            <w:hideMark/>
          </w:tcPr>
          <w:p w:rsidR="00F4665C" w:rsidRPr="00F4665C" w:rsidRDefault="00F4665C" w:rsidP="00F4665C">
            <w:pPr>
              <w:jc w:val="center"/>
              <w:rPr>
                <w:rFonts w:ascii="Open Sans" w:eastAsia="Times New Roman" w:hAnsi="Open Sans" w:cs="Open Sans"/>
                <w:color w:val="32353E"/>
                <w:lang w:eastAsia="es-ES_tradnl"/>
              </w:rPr>
            </w:pPr>
            <w:r w:rsidRPr="00F4665C">
              <w:rPr>
                <w:rFonts w:ascii="Open Sans" w:eastAsia="Times New Roman" w:hAnsi="Open Sans" w:cs="Open Sans"/>
                <w:b/>
                <w:bCs/>
                <w:color w:val="32353E"/>
                <w:lang w:eastAsia="es-ES_tradnl"/>
              </w:rPr>
              <w:t>WITHHELD</w:t>
            </w:r>
          </w:p>
        </w:tc>
      </w:tr>
      <w:tr w:rsidR="00F4665C" w:rsidRPr="00F4665C" w:rsidTr="00F4665C">
        <w:trPr>
          <w:jc w:val="center"/>
        </w:trPr>
        <w:tc>
          <w:tcPr>
            <w:tcW w:w="0" w:type="auto"/>
            <w:shd w:val="clear" w:color="auto" w:fill="F1F1F1"/>
            <w:vAlign w:val="bottom"/>
            <w:hideMark/>
          </w:tcPr>
          <w:p w:rsidR="00F4665C" w:rsidRPr="00F4665C" w:rsidRDefault="00F4665C" w:rsidP="00F4665C">
            <w:pP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Robert A. Watts</w:t>
            </w:r>
          </w:p>
        </w:tc>
        <w:tc>
          <w:tcPr>
            <w:tcW w:w="0" w:type="auto"/>
            <w:shd w:val="clear" w:color="auto" w:fill="F1F1F1"/>
            <w:vAlign w:val="bottom"/>
            <w:hideMark/>
          </w:tcPr>
          <w:p w:rsidR="00F4665C" w:rsidRPr="00F4665C" w:rsidRDefault="00F4665C" w:rsidP="00F4665C">
            <w:pPr>
              <w:jc w:val="cente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81,531,696</w:t>
            </w:r>
          </w:p>
        </w:tc>
        <w:tc>
          <w:tcPr>
            <w:tcW w:w="0" w:type="auto"/>
            <w:shd w:val="clear" w:color="auto" w:fill="F1F1F1"/>
            <w:vAlign w:val="bottom"/>
            <w:hideMark/>
          </w:tcPr>
          <w:p w:rsidR="00F4665C" w:rsidRPr="00F4665C" w:rsidRDefault="00F4665C" w:rsidP="00F4665C">
            <w:pPr>
              <w:jc w:val="cente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70,500</w:t>
            </w:r>
          </w:p>
        </w:tc>
      </w:tr>
      <w:tr w:rsidR="00F4665C" w:rsidRPr="00F4665C" w:rsidTr="00F4665C">
        <w:trPr>
          <w:jc w:val="center"/>
        </w:trPr>
        <w:tc>
          <w:tcPr>
            <w:tcW w:w="0" w:type="auto"/>
            <w:shd w:val="clear" w:color="auto" w:fill="F8F9FA"/>
            <w:vAlign w:val="bottom"/>
            <w:hideMark/>
          </w:tcPr>
          <w:p w:rsidR="00F4665C" w:rsidRPr="00F4665C" w:rsidRDefault="00F4665C" w:rsidP="00F4665C">
            <w:pP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Alan J. Stephens</w:t>
            </w:r>
          </w:p>
        </w:tc>
        <w:tc>
          <w:tcPr>
            <w:tcW w:w="0" w:type="auto"/>
            <w:shd w:val="clear" w:color="auto" w:fill="F8F9FA"/>
            <w:vAlign w:val="bottom"/>
            <w:hideMark/>
          </w:tcPr>
          <w:p w:rsidR="00F4665C" w:rsidRPr="00F4665C" w:rsidRDefault="00F4665C" w:rsidP="00F4665C">
            <w:pPr>
              <w:jc w:val="cente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81,531,696</w:t>
            </w:r>
          </w:p>
        </w:tc>
        <w:tc>
          <w:tcPr>
            <w:tcW w:w="0" w:type="auto"/>
            <w:shd w:val="clear" w:color="auto" w:fill="F8F9FA"/>
            <w:vAlign w:val="bottom"/>
            <w:hideMark/>
          </w:tcPr>
          <w:p w:rsidR="00F4665C" w:rsidRPr="00F4665C" w:rsidRDefault="00F4665C" w:rsidP="00F4665C">
            <w:pPr>
              <w:jc w:val="cente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70,500</w:t>
            </w:r>
          </w:p>
        </w:tc>
      </w:tr>
      <w:tr w:rsidR="00F4665C" w:rsidRPr="00F4665C" w:rsidTr="00F4665C">
        <w:trPr>
          <w:jc w:val="center"/>
        </w:trPr>
        <w:tc>
          <w:tcPr>
            <w:tcW w:w="0" w:type="auto"/>
            <w:shd w:val="clear" w:color="auto" w:fill="F1F1F1"/>
            <w:vAlign w:val="bottom"/>
            <w:hideMark/>
          </w:tcPr>
          <w:p w:rsidR="00F4665C" w:rsidRPr="00F4665C" w:rsidRDefault="00F4665C" w:rsidP="00F4665C">
            <w:pP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Michael D. Philpot</w:t>
            </w:r>
          </w:p>
        </w:tc>
        <w:tc>
          <w:tcPr>
            <w:tcW w:w="0" w:type="auto"/>
            <w:shd w:val="clear" w:color="auto" w:fill="F1F1F1"/>
            <w:vAlign w:val="bottom"/>
            <w:hideMark/>
          </w:tcPr>
          <w:p w:rsidR="00F4665C" w:rsidRPr="00F4665C" w:rsidRDefault="00F4665C" w:rsidP="00F4665C">
            <w:pPr>
              <w:jc w:val="cente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81,521,696</w:t>
            </w:r>
          </w:p>
        </w:tc>
        <w:tc>
          <w:tcPr>
            <w:tcW w:w="0" w:type="auto"/>
            <w:shd w:val="clear" w:color="auto" w:fill="F1F1F1"/>
            <w:vAlign w:val="bottom"/>
            <w:hideMark/>
          </w:tcPr>
          <w:p w:rsidR="00F4665C" w:rsidRPr="00F4665C" w:rsidRDefault="00F4665C" w:rsidP="00F4665C">
            <w:pPr>
              <w:jc w:val="cente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80,500</w:t>
            </w:r>
          </w:p>
        </w:tc>
      </w:tr>
      <w:tr w:rsidR="00F4665C" w:rsidRPr="00F4665C" w:rsidTr="00F4665C">
        <w:trPr>
          <w:jc w:val="center"/>
        </w:trPr>
        <w:tc>
          <w:tcPr>
            <w:tcW w:w="0" w:type="auto"/>
            <w:shd w:val="clear" w:color="auto" w:fill="F8F9FA"/>
            <w:vAlign w:val="bottom"/>
            <w:hideMark/>
          </w:tcPr>
          <w:p w:rsidR="00F4665C" w:rsidRPr="00F4665C" w:rsidRDefault="00F4665C" w:rsidP="00F4665C">
            <w:pP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Alvin W. Jackson</w:t>
            </w:r>
          </w:p>
        </w:tc>
        <w:tc>
          <w:tcPr>
            <w:tcW w:w="0" w:type="auto"/>
            <w:shd w:val="clear" w:color="auto" w:fill="F8F9FA"/>
            <w:vAlign w:val="bottom"/>
            <w:hideMark/>
          </w:tcPr>
          <w:p w:rsidR="00F4665C" w:rsidRPr="00F4665C" w:rsidRDefault="00F4665C" w:rsidP="00F4665C">
            <w:pPr>
              <w:jc w:val="cente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81,521,696</w:t>
            </w:r>
          </w:p>
        </w:tc>
        <w:tc>
          <w:tcPr>
            <w:tcW w:w="0" w:type="auto"/>
            <w:shd w:val="clear" w:color="auto" w:fill="F8F9FA"/>
            <w:vAlign w:val="bottom"/>
            <w:hideMark/>
          </w:tcPr>
          <w:p w:rsidR="00F4665C" w:rsidRPr="00F4665C" w:rsidRDefault="00F4665C" w:rsidP="00F4665C">
            <w:pPr>
              <w:jc w:val="cente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80,500</w:t>
            </w:r>
          </w:p>
        </w:tc>
      </w:tr>
      <w:tr w:rsidR="00F4665C" w:rsidRPr="00F4665C" w:rsidTr="00F4665C">
        <w:trPr>
          <w:jc w:val="center"/>
        </w:trPr>
        <w:tc>
          <w:tcPr>
            <w:tcW w:w="0" w:type="auto"/>
            <w:shd w:val="clear" w:color="auto" w:fill="F1F1F1"/>
            <w:vAlign w:val="bottom"/>
            <w:hideMark/>
          </w:tcPr>
          <w:p w:rsidR="00F4665C" w:rsidRPr="00F4665C" w:rsidRDefault="00F4665C" w:rsidP="00F4665C">
            <w:pP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Roderick J. Webster</w:t>
            </w:r>
          </w:p>
        </w:tc>
        <w:tc>
          <w:tcPr>
            <w:tcW w:w="0" w:type="auto"/>
            <w:shd w:val="clear" w:color="auto" w:fill="F1F1F1"/>
            <w:vAlign w:val="bottom"/>
            <w:hideMark/>
          </w:tcPr>
          <w:p w:rsidR="00F4665C" w:rsidRPr="00F4665C" w:rsidRDefault="00F4665C" w:rsidP="00F4665C">
            <w:pPr>
              <w:jc w:val="cente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81,531,696</w:t>
            </w:r>
          </w:p>
        </w:tc>
        <w:tc>
          <w:tcPr>
            <w:tcW w:w="0" w:type="auto"/>
            <w:shd w:val="clear" w:color="auto" w:fill="F1F1F1"/>
            <w:vAlign w:val="bottom"/>
            <w:hideMark/>
          </w:tcPr>
          <w:p w:rsidR="00F4665C" w:rsidRPr="00F4665C" w:rsidRDefault="00F4665C" w:rsidP="00F4665C">
            <w:pPr>
              <w:jc w:val="cente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70,500</w:t>
            </w:r>
          </w:p>
        </w:tc>
      </w:tr>
      <w:tr w:rsidR="00F4665C" w:rsidRPr="00F4665C" w:rsidTr="00F4665C">
        <w:trPr>
          <w:jc w:val="center"/>
        </w:trPr>
        <w:tc>
          <w:tcPr>
            <w:tcW w:w="0" w:type="auto"/>
            <w:shd w:val="clear" w:color="auto" w:fill="F8F9FA"/>
            <w:vAlign w:val="bottom"/>
            <w:hideMark/>
          </w:tcPr>
          <w:p w:rsidR="00F4665C" w:rsidRPr="00F4665C" w:rsidRDefault="00F4665C" w:rsidP="00F4665C">
            <w:pP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Gordon J. Fretwell</w:t>
            </w:r>
          </w:p>
        </w:tc>
        <w:tc>
          <w:tcPr>
            <w:tcW w:w="0" w:type="auto"/>
            <w:shd w:val="clear" w:color="auto" w:fill="F8F9FA"/>
            <w:vAlign w:val="bottom"/>
            <w:hideMark/>
          </w:tcPr>
          <w:p w:rsidR="00F4665C" w:rsidRPr="00F4665C" w:rsidRDefault="00F4665C" w:rsidP="00F4665C">
            <w:pPr>
              <w:jc w:val="cente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81,522,696</w:t>
            </w:r>
          </w:p>
        </w:tc>
        <w:tc>
          <w:tcPr>
            <w:tcW w:w="0" w:type="auto"/>
            <w:shd w:val="clear" w:color="auto" w:fill="F8F9FA"/>
            <w:vAlign w:val="bottom"/>
            <w:hideMark/>
          </w:tcPr>
          <w:p w:rsidR="00F4665C" w:rsidRPr="00F4665C" w:rsidRDefault="00F4665C" w:rsidP="00F4665C">
            <w:pPr>
              <w:jc w:val="center"/>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t>79,500</w:t>
            </w:r>
          </w:p>
        </w:tc>
      </w:tr>
    </w:tbl>
    <w:p w:rsidR="00F4665C" w:rsidRPr="00F4665C" w:rsidRDefault="00F4665C" w:rsidP="00F4665C">
      <w:pPr>
        <w:shd w:val="clear" w:color="auto" w:fill="F8F9FA"/>
        <w:spacing w:before="100" w:beforeAutospacing="1" w:after="100" w:afterAutospacing="1"/>
        <w:rPr>
          <w:rFonts w:ascii="Open Sans" w:eastAsia="Times New Roman" w:hAnsi="Open Sans" w:cs="Open Sans"/>
          <w:color w:val="32353E"/>
          <w:lang w:eastAsia="es-ES_tradnl"/>
        </w:rPr>
      </w:pPr>
      <w:r w:rsidRPr="00F4665C">
        <w:rPr>
          <w:rFonts w:ascii="Open Sans" w:eastAsia="Times New Roman" w:hAnsi="Open Sans" w:cs="Open Sans"/>
          <w:color w:val="32353E"/>
          <w:lang w:eastAsia="es-ES_tradnl"/>
        </w:rPr>
        <w:br/>
        <w:t>In addition, the Company announces that its shareholders did not approve a special resolution to modify the Articles in order to permit the Directors to change the authorized share structure of the Company. Although a majority of the other voting shareholders supported the resolution, Benton Capital Corp. (“Benton”), who currently own 61 million shares of the Company, voted against the special resolution.</w:t>
      </w:r>
      <w:r w:rsidRPr="00F4665C">
        <w:rPr>
          <w:rFonts w:ascii="Open Sans" w:eastAsia="Times New Roman" w:hAnsi="Open Sans" w:cs="Open Sans"/>
          <w:color w:val="32353E"/>
          <w:lang w:eastAsia="es-ES_tradnl"/>
        </w:rPr>
        <w:br/>
      </w:r>
      <w:r w:rsidRPr="00F4665C">
        <w:rPr>
          <w:rFonts w:ascii="Open Sans" w:eastAsia="Times New Roman" w:hAnsi="Open Sans" w:cs="Open Sans"/>
          <w:color w:val="32353E"/>
          <w:lang w:eastAsia="es-ES_tradnl"/>
        </w:rPr>
        <w:br/>
      </w:r>
      <w:r w:rsidRPr="00F4665C">
        <w:rPr>
          <w:rFonts w:ascii="Open Sans" w:eastAsia="Times New Roman" w:hAnsi="Open Sans" w:cs="Open Sans"/>
          <w:color w:val="32353E"/>
          <w:lang w:eastAsia="es-ES_tradnl"/>
        </w:rPr>
        <w:lastRenderedPageBreak/>
        <w:t>Other Matters:</w:t>
      </w:r>
      <w:r w:rsidRPr="00F4665C">
        <w:rPr>
          <w:rFonts w:ascii="Open Sans" w:eastAsia="Times New Roman" w:hAnsi="Open Sans" w:cs="Open Sans"/>
          <w:color w:val="32353E"/>
          <w:lang w:eastAsia="es-ES_tradnl"/>
        </w:rPr>
        <w:br/>
        <w:t>Benton held its Annual General and Special Meeting today (July 8th, 2014) at 10am to approve a plan of arrangement, where amongst other things, they proposed to distribute their 61 million shares of Marimaca Copperto their shareholders. If approved, it is expected that the shares will be distributed on or around July 15th, 2014. Marimaca Copperwould like to take the opportunity to thank Benton for its continued support over the past 5 years and looks forward to welcoming Benton’s shareholders as direct shareholders of Marimaca Copper.</w:t>
      </w:r>
      <w:r w:rsidRPr="00F4665C">
        <w:rPr>
          <w:rFonts w:ascii="Open Sans" w:eastAsia="Times New Roman" w:hAnsi="Open Sans" w:cs="Open Sans"/>
          <w:color w:val="32353E"/>
          <w:lang w:eastAsia="es-ES_tradnl"/>
        </w:rPr>
        <w:br/>
      </w:r>
      <w:r w:rsidRPr="00F4665C">
        <w:rPr>
          <w:rFonts w:ascii="Open Sans" w:eastAsia="Times New Roman" w:hAnsi="Open Sans" w:cs="Open Sans"/>
          <w:color w:val="32353E"/>
          <w:lang w:eastAsia="es-ES_tradnl"/>
        </w:rPr>
        <w:br/>
      </w:r>
      <w:r w:rsidRPr="00F4665C">
        <w:rPr>
          <w:rFonts w:ascii="Open Sans" w:eastAsia="Times New Roman" w:hAnsi="Open Sans" w:cs="Open Sans"/>
          <w:b/>
          <w:bCs/>
          <w:color w:val="32353E"/>
          <w:lang w:eastAsia="es-ES_tradnl"/>
        </w:rPr>
        <w:t>CORO MINING CORP.</w:t>
      </w:r>
      <w:r w:rsidRPr="00F4665C">
        <w:rPr>
          <w:rFonts w:ascii="Open Sans" w:eastAsia="Times New Roman" w:hAnsi="Open Sans" w:cs="Open Sans"/>
          <w:color w:val="32353E"/>
          <w:lang w:eastAsia="es-ES_tradnl"/>
        </w:rPr>
        <w:br/>
      </w:r>
      <w:r w:rsidRPr="00F4665C">
        <w:rPr>
          <w:rFonts w:ascii="Open Sans" w:eastAsia="Times New Roman" w:hAnsi="Open Sans" w:cs="Open Sans"/>
          <w:color w:val="32353E"/>
          <w:lang w:eastAsia="es-ES_tradnl"/>
        </w:rPr>
        <w:br/>
      </w:r>
      <w:r w:rsidRPr="00F4665C">
        <w:rPr>
          <w:rFonts w:ascii="Open Sans" w:eastAsia="Times New Roman" w:hAnsi="Open Sans" w:cs="Open Sans"/>
          <w:i/>
          <w:iCs/>
          <w:color w:val="32353E"/>
          <w:lang w:eastAsia="es-ES_tradnl"/>
        </w:rPr>
        <w:t>“Alan Stephens”</w:t>
      </w:r>
      <w:r w:rsidRPr="00F4665C">
        <w:rPr>
          <w:rFonts w:ascii="Open Sans" w:eastAsia="Times New Roman" w:hAnsi="Open Sans" w:cs="Open Sans"/>
          <w:color w:val="32353E"/>
          <w:lang w:eastAsia="es-ES_tradnl"/>
        </w:rPr>
        <w:br/>
      </w:r>
      <w:r w:rsidRPr="00F4665C">
        <w:rPr>
          <w:rFonts w:ascii="Open Sans" w:eastAsia="Times New Roman" w:hAnsi="Open Sans" w:cs="Open Sans"/>
          <w:color w:val="32353E"/>
          <w:lang w:eastAsia="es-ES_tradnl"/>
        </w:rPr>
        <w:br/>
      </w:r>
      <w:r w:rsidRPr="00F4665C">
        <w:rPr>
          <w:rFonts w:ascii="Open Sans" w:eastAsia="Times New Roman" w:hAnsi="Open Sans" w:cs="Open Sans"/>
          <w:b/>
          <w:bCs/>
          <w:color w:val="32353E"/>
          <w:lang w:eastAsia="es-ES_tradnl"/>
        </w:rPr>
        <w:t>Alan Stephens</w:t>
      </w:r>
      <w:r w:rsidRPr="00F4665C">
        <w:rPr>
          <w:rFonts w:ascii="Open Sans" w:eastAsia="Times New Roman" w:hAnsi="Open Sans" w:cs="Open Sans"/>
          <w:b/>
          <w:bCs/>
          <w:color w:val="32353E"/>
          <w:lang w:eastAsia="es-ES_tradnl"/>
        </w:rPr>
        <w:br/>
        <w:t>President and CEO</w:t>
      </w:r>
      <w:r w:rsidRPr="00F4665C">
        <w:rPr>
          <w:rFonts w:ascii="Open Sans" w:eastAsia="Times New Roman" w:hAnsi="Open Sans" w:cs="Open Sans"/>
          <w:color w:val="32353E"/>
          <w:lang w:eastAsia="es-ES_tradnl"/>
        </w:rPr>
        <w:br/>
      </w:r>
      <w:r w:rsidRPr="00F4665C">
        <w:rPr>
          <w:rFonts w:ascii="Open Sans" w:eastAsia="Times New Roman" w:hAnsi="Open Sans" w:cs="Open Sans"/>
          <w:color w:val="32353E"/>
          <w:lang w:eastAsia="es-ES_tradnl"/>
        </w:rPr>
        <w:br/>
      </w:r>
      <w:r w:rsidRPr="00F4665C">
        <w:rPr>
          <w:rFonts w:ascii="Open Sans" w:eastAsia="Times New Roman" w:hAnsi="Open Sans" w:cs="Open Sans"/>
          <w:b/>
          <w:bCs/>
          <w:color w:val="32353E"/>
          <w:lang w:eastAsia="es-ES_tradnl"/>
        </w:rPr>
        <w:t>About Marimaca Copper Corp.:</w:t>
      </w:r>
      <w:r w:rsidRPr="00F4665C">
        <w:rPr>
          <w:rFonts w:ascii="Open Sans" w:eastAsia="Times New Roman" w:hAnsi="Open Sans" w:cs="Open Sans"/>
          <w:color w:val="32353E"/>
          <w:lang w:eastAsia="es-ES_tradnl"/>
        </w:rPr>
        <w:br/>
        <w:t>The Company was founded with the goal of building a mining company focused on base and precious metals deposits in Latin America. The Company intends to achieve this through the exploration for, and acquisition of, projects that can be developed and placed into production in Chile. Coro’s properties include the Berta, Payen, Celeste and Llancahue copper properties in Chile and the advanced San Jorge copper-gold project, in Argentina.</w:t>
      </w:r>
      <w:r w:rsidRPr="00F4665C">
        <w:rPr>
          <w:rFonts w:ascii="Open Sans" w:eastAsia="Times New Roman" w:hAnsi="Open Sans" w:cs="Open Sans"/>
          <w:color w:val="32353E"/>
          <w:lang w:eastAsia="es-ES_tradnl"/>
        </w:rPr>
        <w:br/>
      </w:r>
      <w:r w:rsidRPr="00F4665C">
        <w:rPr>
          <w:rFonts w:ascii="Open Sans" w:eastAsia="Times New Roman" w:hAnsi="Open Sans" w:cs="Open Sans"/>
          <w:color w:val="32353E"/>
          <w:lang w:eastAsia="es-ES_tradnl"/>
        </w:rPr>
        <w:br/>
      </w:r>
      <w:r w:rsidRPr="00F4665C">
        <w:rPr>
          <w:rFonts w:ascii="Open Sans" w:eastAsia="Times New Roman" w:hAnsi="Open Sans" w:cs="Open Sans"/>
          <w:b/>
          <w:bCs/>
          <w:color w:val="32353E"/>
          <w:lang w:eastAsia="es-ES_tradnl"/>
        </w:rPr>
        <w:t>For further information please visit the Company’s website at </w:t>
      </w:r>
      <w:hyperlink r:id="rId4" w:history="1">
        <w:r w:rsidRPr="00F4665C">
          <w:rPr>
            <w:rFonts w:ascii="Open Sans" w:eastAsia="Times New Roman" w:hAnsi="Open Sans" w:cs="Open Sans"/>
            <w:b/>
            <w:bCs/>
            <w:color w:val="88300C"/>
            <w:u w:val="single"/>
            <w:lang w:eastAsia="es-ES_tradnl"/>
          </w:rPr>
          <w:t>www.coromining.com</w:t>
        </w:r>
      </w:hyperlink>
      <w:r w:rsidRPr="00F4665C">
        <w:rPr>
          <w:rFonts w:ascii="Open Sans" w:eastAsia="Times New Roman" w:hAnsi="Open Sans" w:cs="Open Sans"/>
          <w:b/>
          <w:bCs/>
          <w:color w:val="32353E"/>
          <w:lang w:eastAsia="es-ES_tradnl"/>
        </w:rPr>
        <w:t> or contact Michael Philpot, Executive Vice-President at (604) 682 5546 or </w:t>
      </w:r>
      <w:hyperlink r:id="rId5" w:history="1">
        <w:r w:rsidRPr="00F4665C">
          <w:rPr>
            <w:rFonts w:ascii="Open Sans" w:eastAsia="Times New Roman" w:hAnsi="Open Sans" w:cs="Open Sans"/>
            <w:b/>
            <w:bCs/>
            <w:color w:val="88300C"/>
            <w:u w:val="single"/>
            <w:lang w:eastAsia="es-ES_tradnl"/>
          </w:rPr>
          <w:t>investor.info@coromining.com</w:t>
        </w:r>
      </w:hyperlink>
      <w:r w:rsidRPr="00F4665C">
        <w:rPr>
          <w:rFonts w:ascii="Open Sans" w:eastAsia="Times New Roman" w:hAnsi="Open Sans" w:cs="Open Sans"/>
          <w:color w:val="32353E"/>
          <w:lang w:eastAsia="es-ES_tradnl"/>
        </w:rPr>
        <w:br/>
      </w:r>
      <w:r w:rsidRPr="00F4665C">
        <w:rPr>
          <w:rFonts w:ascii="Open Sans" w:eastAsia="Times New Roman" w:hAnsi="Open Sans" w:cs="Open Sans"/>
          <w:color w:val="32353E"/>
          <w:lang w:eastAsia="es-ES_tradnl"/>
        </w:rPr>
        <w:br/>
      </w:r>
      <w:r w:rsidRPr="00F4665C">
        <w:rPr>
          <w:rFonts w:ascii="Open Sans" w:eastAsia="Times New Roman" w:hAnsi="Open Sans" w:cs="Open Sans"/>
          <w:color w:val="32353E"/>
          <w:sz w:val="19"/>
          <w:szCs w:val="19"/>
          <w:lang w:eastAsia="es-ES_tradnl"/>
        </w:rPr>
        <w:t>This news release includes certain “forward-looking statements” under applicable Canadian securities legislation. Such forward-looking statements or information, including but not limited to those with respect to the prices of copper, estimated future production, estimated costs of future production, permitting time lines, involve known and unknown risks, uncertainties, and other factors which may cause the actual results, performance or achievements of the Company to be materially different from any future results, performance or achievements expressed or implied by such forward-looking statements or information. Such factors include, among others, the actual prices of copper, the factual results of current exploration, development and mining activities, changes in project parameters as plans continue to be evaluated, as well as those factors disclosed in the Company’s documents filed from time to time with the securities regulators in the Provinces of British Columbia, Alberta, Saskatchewan, Manitoba, Ontario, New Brunswick, Nova Scotia, Prince Edward Island and Newfoundland and Labrador.</w:t>
      </w:r>
    </w:p>
    <w:p w:rsidR="00F4665C" w:rsidRDefault="00F4665C" w:rsidP="00F4665C">
      <w:pPr>
        <w:pStyle w:val="Ttulo1"/>
        <w:spacing w:before="300" w:beforeAutospacing="0" w:after="75" w:afterAutospacing="0"/>
        <w:rPr>
          <w:rFonts w:ascii="Open Sans" w:hAnsi="Open Sans" w:cs="Open Sans"/>
          <w:color w:val="88300C"/>
          <w:sz w:val="60"/>
          <w:szCs w:val="60"/>
        </w:rPr>
      </w:pPr>
    </w:p>
    <w:sectPr w:rsidR="00F4665C" w:rsidSect="00DD5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81"/>
    <w:rsid w:val="000D0BAA"/>
    <w:rsid w:val="00750D13"/>
    <w:rsid w:val="007C426B"/>
    <w:rsid w:val="00DD5C6F"/>
    <w:rsid w:val="00EC3381"/>
    <w:rsid w:val="00F466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625BF214"/>
  <w15:chartTrackingRefBased/>
  <w15:docId w15:val="{FC261E04-5014-1441-B35A-D12F731D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C3381"/>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3381"/>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EC3381"/>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EC3381"/>
    <w:rPr>
      <w:i/>
      <w:iCs/>
    </w:rPr>
  </w:style>
  <w:style w:type="character" w:styleId="Hipervnculo">
    <w:name w:val="Hyperlink"/>
    <w:basedOn w:val="Fuentedeprrafopredeter"/>
    <w:uiPriority w:val="99"/>
    <w:semiHidden/>
    <w:unhideWhenUsed/>
    <w:rsid w:val="00EC3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73645">
      <w:bodyDiv w:val="1"/>
      <w:marLeft w:val="0"/>
      <w:marRight w:val="0"/>
      <w:marTop w:val="0"/>
      <w:marBottom w:val="0"/>
      <w:divBdr>
        <w:top w:val="none" w:sz="0" w:space="0" w:color="auto"/>
        <w:left w:val="none" w:sz="0" w:space="0" w:color="auto"/>
        <w:bottom w:val="none" w:sz="0" w:space="0" w:color="auto"/>
        <w:right w:val="none" w:sz="0" w:space="0" w:color="auto"/>
      </w:divBdr>
    </w:div>
    <w:div w:id="519241818">
      <w:bodyDiv w:val="1"/>
      <w:marLeft w:val="0"/>
      <w:marRight w:val="0"/>
      <w:marTop w:val="0"/>
      <w:marBottom w:val="0"/>
      <w:divBdr>
        <w:top w:val="none" w:sz="0" w:space="0" w:color="auto"/>
        <w:left w:val="none" w:sz="0" w:space="0" w:color="auto"/>
        <w:bottom w:val="none" w:sz="0" w:space="0" w:color="auto"/>
        <w:right w:val="none" w:sz="0" w:space="0" w:color="auto"/>
      </w:divBdr>
    </w:div>
    <w:div w:id="521941303">
      <w:bodyDiv w:val="1"/>
      <w:marLeft w:val="0"/>
      <w:marRight w:val="0"/>
      <w:marTop w:val="0"/>
      <w:marBottom w:val="0"/>
      <w:divBdr>
        <w:top w:val="none" w:sz="0" w:space="0" w:color="auto"/>
        <w:left w:val="none" w:sz="0" w:space="0" w:color="auto"/>
        <w:bottom w:val="none" w:sz="0" w:space="0" w:color="auto"/>
        <w:right w:val="none" w:sz="0" w:space="0" w:color="auto"/>
      </w:divBdr>
    </w:div>
    <w:div w:id="1200316391">
      <w:bodyDiv w:val="1"/>
      <w:marLeft w:val="0"/>
      <w:marRight w:val="0"/>
      <w:marTop w:val="0"/>
      <w:marBottom w:val="0"/>
      <w:divBdr>
        <w:top w:val="none" w:sz="0" w:space="0" w:color="auto"/>
        <w:left w:val="none" w:sz="0" w:space="0" w:color="auto"/>
        <w:bottom w:val="none" w:sz="0" w:space="0" w:color="auto"/>
        <w:right w:val="none" w:sz="0" w:space="0" w:color="auto"/>
      </w:divBdr>
    </w:div>
    <w:div w:id="1205828424">
      <w:bodyDiv w:val="1"/>
      <w:marLeft w:val="0"/>
      <w:marRight w:val="0"/>
      <w:marTop w:val="0"/>
      <w:marBottom w:val="0"/>
      <w:divBdr>
        <w:top w:val="none" w:sz="0" w:space="0" w:color="auto"/>
        <w:left w:val="none" w:sz="0" w:space="0" w:color="auto"/>
        <w:bottom w:val="none" w:sz="0" w:space="0" w:color="auto"/>
        <w:right w:val="none" w:sz="0" w:space="0" w:color="auto"/>
      </w:divBdr>
    </w:div>
    <w:div w:id="1791895969">
      <w:bodyDiv w:val="1"/>
      <w:marLeft w:val="0"/>
      <w:marRight w:val="0"/>
      <w:marTop w:val="0"/>
      <w:marBottom w:val="0"/>
      <w:divBdr>
        <w:top w:val="none" w:sz="0" w:space="0" w:color="auto"/>
        <w:left w:val="none" w:sz="0" w:space="0" w:color="auto"/>
        <w:bottom w:val="none" w:sz="0" w:space="0" w:color="auto"/>
        <w:right w:val="none" w:sz="0" w:space="0" w:color="auto"/>
      </w:divBdr>
    </w:div>
    <w:div w:id="1933122742">
      <w:bodyDiv w:val="1"/>
      <w:marLeft w:val="0"/>
      <w:marRight w:val="0"/>
      <w:marTop w:val="0"/>
      <w:marBottom w:val="0"/>
      <w:divBdr>
        <w:top w:val="none" w:sz="0" w:space="0" w:color="auto"/>
        <w:left w:val="none" w:sz="0" w:space="0" w:color="auto"/>
        <w:bottom w:val="none" w:sz="0" w:space="0" w:color="auto"/>
        <w:right w:val="none" w:sz="0" w:space="0" w:color="auto"/>
      </w:divBdr>
    </w:div>
    <w:div w:id="20341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vestor.info@coromining.com" TargetMode="External"/><Relationship Id="rId4" Type="http://schemas.openxmlformats.org/officeDocument/2006/relationships/hyperlink" Target="https://www.coromining.com/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3090</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Vilaxa</dc:creator>
  <cp:keywords/>
  <dc:description/>
  <cp:lastModifiedBy>Felipe Vilaxa</cp:lastModifiedBy>
  <cp:revision>2</cp:revision>
  <dcterms:created xsi:type="dcterms:W3CDTF">2020-09-30T18:40:00Z</dcterms:created>
  <dcterms:modified xsi:type="dcterms:W3CDTF">2020-09-30T18:40:00Z</dcterms:modified>
</cp:coreProperties>
</file>