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1AEB" w:rsidRDefault="00B11AEB" w:rsidP="00B11AEB">
      <w:pPr>
        <w:pStyle w:val="Ttulo1"/>
        <w:spacing w:before="300" w:beforeAutospacing="0" w:after="75" w:afterAutospacing="0"/>
        <w:rPr>
          <w:rFonts w:ascii="Open Sans" w:hAnsi="Open Sans" w:cs="Open Sans"/>
          <w:color w:val="88300C"/>
          <w:sz w:val="60"/>
          <w:szCs w:val="60"/>
        </w:rPr>
      </w:pPr>
      <w:r>
        <w:rPr>
          <w:rFonts w:ascii="Open Sans" w:hAnsi="Open Sans" w:cs="Open Sans"/>
          <w:color w:val="88300C"/>
          <w:sz w:val="60"/>
          <w:szCs w:val="60"/>
        </w:rPr>
        <w:t>Coro Announces Private Placement Financing</w:t>
      </w:r>
    </w:p>
    <w:p w:rsidR="00454059" w:rsidRDefault="00B11AEB"/>
    <w:p w:rsidR="00B11AEB" w:rsidRPr="00B11AEB" w:rsidRDefault="00B11AEB" w:rsidP="00B11AEB">
      <w:pPr>
        <w:shd w:val="clear" w:color="auto" w:fill="F8F9FA"/>
        <w:spacing w:before="100" w:beforeAutospacing="1" w:after="100" w:afterAutospacing="1"/>
        <w:rPr>
          <w:rFonts w:ascii="Open Sans" w:eastAsia="Times New Roman" w:hAnsi="Open Sans" w:cs="Open Sans"/>
          <w:color w:val="32353E"/>
          <w:lang w:eastAsia="es-ES_tradnl"/>
        </w:rPr>
      </w:pPr>
      <w:r w:rsidRPr="00B11AEB">
        <w:rPr>
          <w:rFonts w:ascii="Open Sans" w:eastAsia="Times New Roman" w:hAnsi="Open Sans" w:cs="Open Sans"/>
          <w:b/>
          <w:bCs/>
          <w:color w:val="32353E"/>
          <w:lang w:eastAsia="es-ES_tradnl"/>
        </w:rPr>
        <w:t>News Release 13-14</w:t>
      </w:r>
    </w:p>
    <w:p w:rsidR="00B11AEB" w:rsidRPr="00B11AEB" w:rsidRDefault="00B11AEB" w:rsidP="00B11AEB">
      <w:pPr>
        <w:shd w:val="clear" w:color="auto" w:fill="F8F9FA"/>
        <w:spacing w:before="100" w:beforeAutospacing="1" w:after="100" w:afterAutospacing="1"/>
        <w:jc w:val="center"/>
        <w:rPr>
          <w:rFonts w:ascii="Open Sans" w:eastAsia="Times New Roman" w:hAnsi="Open Sans" w:cs="Open Sans"/>
          <w:color w:val="32353E"/>
          <w:lang w:eastAsia="es-ES_tradnl"/>
        </w:rPr>
      </w:pPr>
      <w:r w:rsidRPr="00B11AEB">
        <w:rPr>
          <w:rFonts w:ascii="Open Sans" w:eastAsia="Times New Roman" w:hAnsi="Open Sans" w:cs="Open Sans"/>
          <w:color w:val="32353E"/>
          <w:lang w:eastAsia="es-ES_tradnl"/>
        </w:rPr>
        <w:t>NOT FOR DISTRIBUTION TO U.S. NEWS WIRE SERVICES OR DISSEMINATION IN THE UNITED STATES</w:t>
      </w:r>
    </w:p>
    <w:p w:rsidR="00B11AEB" w:rsidRPr="00B11AEB" w:rsidRDefault="00B11AEB" w:rsidP="00B11AEB">
      <w:pPr>
        <w:shd w:val="clear" w:color="auto" w:fill="F8F9FA"/>
        <w:spacing w:before="100" w:beforeAutospacing="1" w:after="100" w:afterAutospacing="1"/>
        <w:rPr>
          <w:rFonts w:ascii="Open Sans" w:eastAsia="Times New Roman" w:hAnsi="Open Sans" w:cs="Open Sans"/>
          <w:color w:val="32353E"/>
          <w:lang w:eastAsia="es-ES_tradnl"/>
        </w:rPr>
      </w:pPr>
      <w:r w:rsidRPr="00B11AEB">
        <w:rPr>
          <w:rFonts w:ascii="Open Sans" w:eastAsia="Times New Roman" w:hAnsi="Open Sans" w:cs="Open Sans"/>
          <w:color w:val="32353E"/>
          <w:lang w:eastAsia="es-ES_tradnl"/>
        </w:rPr>
        <w:br/>
      </w:r>
      <w:r w:rsidRPr="00B11AEB">
        <w:rPr>
          <w:rFonts w:ascii="Open Sans" w:eastAsia="Times New Roman" w:hAnsi="Open Sans" w:cs="Open Sans"/>
          <w:b/>
          <w:bCs/>
          <w:color w:val="32353E"/>
          <w:lang w:eastAsia="es-ES_tradnl"/>
        </w:rPr>
        <w:t>December 12, 2013 Marimaca Copper Corp.</w:t>
      </w:r>
      <w:r w:rsidRPr="00B11AEB">
        <w:rPr>
          <w:rFonts w:ascii="Open Sans" w:eastAsia="Times New Roman" w:hAnsi="Open Sans" w:cs="Open Sans"/>
          <w:color w:val="32353E"/>
          <w:lang w:eastAsia="es-ES_tradnl"/>
        </w:rPr>
        <w:t> (</w:t>
      </w:r>
      <w:r w:rsidRPr="00B11AEB">
        <w:rPr>
          <w:rFonts w:ascii="Open Sans" w:eastAsia="Times New Roman" w:hAnsi="Open Sans" w:cs="Open Sans"/>
          <w:b/>
          <w:bCs/>
          <w:color w:val="32353E"/>
          <w:lang w:eastAsia="es-ES_tradnl"/>
        </w:rPr>
        <w:t>“Coro”</w:t>
      </w:r>
      <w:r w:rsidRPr="00B11AEB">
        <w:rPr>
          <w:rFonts w:ascii="Open Sans" w:eastAsia="Times New Roman" w:hAnsi="Open Sans" w:cs="Open Sans"/>
          <w:color w:val="32353E"/>
          <w:lang w:eastAsia="es-ES_tradnl"/>
        </w:rPr>
        <w:t> or the </w:t>
      </w:r>
      <w:r w:rsidRPr="00B11AEB">
        <w:rPr>
          <w:rFonts w:ascii="Open Sans" w:eastAsia="Times New Roman" w:hAnsi="Open Sans" w:cs="Open Sans"/>
          <w:b/>
          <w:bCs/>
          <w:color w:val="32353E"/>
          <w:lang w:eastAsia="es-ES_tradnl"/>
        </w:rPr>
        <w:t>“Company”</w:t>
      </w:r>
      <w:r w:rsidRPr="00B11AEB">
        <w:rPr>
          <w:rFonts w:ascii="Open Sans" w:eastAsia="Times New Roman" w:hAnsi="Open Sans" w:cs="Open Sans"/>
          <w:color w:val="32353E"/>
          <w:lang w:eastAsia="es-ES_tradnl"/>
        </w:rPr>
        <w:t>) (TSX Symbol: COP) is pleased to announce a non-brokered private placement of up to 22,500,000 units (</w:t>
      </w:r>
      <w:r w:rsidRPr="00B11AEB">
        <w:rPr>
          <w:rFonts w:ascii="Open Sans" w:eastAsia="Times New Roman" w:hAnsi="Open Sans" w:cs="Open Sans"/>
          <w:b/>
          <w:bCs/>
          <w:color w:val="32353E"/>
          <w:lang w:eastAsia="es-ES_tradnl"/>
        </w:rPr>
        <w:t>“Units”</w:t>
      </w:r>
      <w:r w:rsidRPr="00B11AEB">
        <w:rPr>
          <w:rFonts w:ascii="Open Sans" w:eastAsia="Times New Roman" w:hAnsi="Open Sans" w:cs="Open Sans"/>
          <w:color w:val="32353E"/>
          <w:lang w:eastAsia="es-ES_tradnl"/>
        </w:rPr>
        <w:t>) at a price of $0.10 per Unit to raise gross proceeds of up to $2,250,000 (the </w:t>
      </w:r>
      <w:r w:rsidRPr="00B11AEB">
        <w:rPr>
          <w:rFonts w:ascii="Open Sans" w:eastAsia="Times New Roman" w:hAnsi="Open Sans" w:cs="Open Sans"/>
          <w:b/>
          <w:bCs/>
          <w:color w:val="32353E"/>
          <w:lang w:eastAsia="es-ES_tradnl"/>
        </w:rPr>
        <w:t>“Private Placement”</w:t>
      </w:r>
      <w:r w:rsidRPr="00B11AEB">
        <w:rPr>
          <w:rFonts w:ascii="Open Sans" w:eastAsia="Times New Roman" w:hAnsi="Open Sans" w:cs="Open Sans"/>
          <w:color w:val="32353E"/>
          <w:lang w:eastAsia="es-ES_tradnl"/>
        </w:rPr>
        <w:t>).</w:t>
      </w:r>
      <w:r w:rsidRPr="00B11AEB">
        <w:rPr>
          <w:rFonts w:ascii="Open Sans" w:eastAsia="Times New Roman" w:hAnsi="Open Sans" w:cs="Open Sans"/>
          <w:color w:val="32353E"/>
          <w:lang w:eastAsia="es-ES_tradnl"/>
        </w:rPr>
        <w:br/>
      </w:r>
      <w:r w:rsidRPr="00B11AEB">
        <w:rPr>
          <w:rFonts w:ascii="Open Sans" w:eastAsia="Times New Roman" w:hAnsi="Open Sans" w:cs="Open Sans"/>
          <w:color w:val="32353E"/>
          <w:lang w:eastAsia="es-ES_tradnl"/>
        </w:rPr>
        <w:br/>
        <w:t>Each Unit will be comprised of one common share of the Company and one half of a common share purchase warrant (each whole warrant, a </w:t>
      </w:r>
      <w:r w:rsidRPr="00B11AEB">
        <w:rPr>
          <w:rFonts w:ascii="Open Sans" w:eastAsia="Times New Roman" w:hAnsi="Open Sans" w:cs="Open Sans"/>
          <w:b/>
          <w:bCs/>
          <w:color w:val="32353E"/>
          <w:lang w:eastAsia="es-ES_tradnl"/>
        </w:rPr>
        <w:t>“Warrant”</w:t>
      </w:r>
      <w:r w:rsidRPr="00B11AEB">
        <w:rPr>
          <w:rFonts w:ascii="Open Sans" w:eastAsia="Times New Roman" w:hAnsi="Open Sans" w:cs="Open Sans"/>
          <w:color w:val="32353E"/>
          <w:lang w:eastAsia="es-ES_tradnl"/>
        </w:rPr>
        <w:t>). Each Warrant will entitle the holder to acquire an additional common share of the Company at an exercise price of $0.15 for a period of three years. The Warrants will be subject to a forced exercise provision after one year in the event the volume weighted average trading price of the Company’s common shares on the Toronto Stock Exchange is equal to or above $0.30 for 20 consecutive trading days.</w:t>
      </w:r>
      <w:r w:rsidRPr="00B11AEB">
        <w:rPr>
          <w:rFonts w:ascii="Open Sans" w:eastAsia="Times New Roman" w:hAnsi="Open Sans" w:cs="Open Sans"/>
          <w:color w:val="32353E"/>
          <w:lang w:eastAsia="es-ES_tradnl"/>
        </w:rPr>
        <w:br/>
      </w:r>
      <w:r w:rsidRPr="00B11AEB">
        <w:rPr>
          <w:rFonts w:ascii="Open Sans" w:eastAsia="Times New Roman" w:hAnsi="Open Sans" w:cs="Open Sans"/>
          <w:color w:val="32353E"/>
          <w:lang w:eastAsia="es-ES_tradnl"/>
        </w:rPr>
        <w:br/>
        <w:t>The Company may pay cash finder’s fees of up to 6% of the proceeds on a portion of the Private Placement. The net proceeds of the Private Placement will be used to advance the Company’s drill program on the El Desesperado Property and for general working capital. Insiders of the Company may participate in the Private Placement.</w:t>
      </w:r>
      <w:r w:rsidRPr="00B11AEB">
        <w:rPr>
          <w:rFonts w:ascii="Open Sans" w:eastAsia="Times New Roman" w:hAnsi="Open Sans" w:cs="Open Sans"/>
          <w:color w:val="32353E"/>
          <w:lang w:eastAsia="es-ES_tradnl"/>
        </w:rPr>
        <w:br/>
      </w:r>
      <w:r w:rsidRPr="00B11AEB">
        <w:rPr>
          <w:rFonts w:ascii="Open Sans" w:eastAsia="Times New Roman" w:hAnsi="Open Sans" w:cs="Open Sans"/>
          <w:color w:val="32353E"/>
          <w:lang w:eastAsia="es-ES_tradnl"/>
        </w:rPr>
        <w:br/>
        <w:t>The Company anticipates closing the Private Placement in one or more tranches. Closing is conditional upon receipt of approval of the Toronto Stock Exchange. All securities issued pursuant to the Private Placement will be subject to a statutory hold period of four months and one day from the date of issuance.</w:t>
      </w:r>
      <w:r w:rsidRPr="00B11AEB">
        <w:rPr>
          <w:rFonts w:ascii="Open Sans" w:eastAsia="Times New Roman" w:hAnsi="Open Sans" w:cs="Open Sans"/>
          <w:color w:val="32353E"/>
          <w:lang w:eastAsia="es-ES_tradnl"/>
        </w:rPr>
        <w:br/>
      </w:r>
      <w:r w:rsidRPr="00B11AEB">
        <w:rPr>
          <w:rFonts w:ascii="Open Sans" w:eastAsia="Times New Roman" w:hAnsi="Open Sans" w:cs="Open Sans"/>
          <w:color w:val="32353E"/>
          <w:lang w:eastAsia="es-ES_tradnl"/>
        </w:rPr>
        <w:br/>
      </w:r>
      <w:r w:rsidRPr="00B11AEB">
        <w:rPr>
          <w:rFonts w:ascii="Open Sans" w:eastAsia="Times New Roman" w:hAnsi="Open Sans" w:cs="Open Sans"/>
          <w:b/>
          <w:bCs/>
          <w:color w:val="32353E"/>
          <w:lang w:eastAsia="es-ES_tradnl"/>
        </w:rPr>
        <w:lastRenderedPageBreak/>
        <w:t>CORO MINING CORP.</w:t>
      </w:r>
      <w:r w:rsidRPr="00B11AEB">
        <w:rPr>
          <w:rFonts w:ascii="Open Sans" w:eastAsia="Times New Roman" w:hAnsi="Open Sans" w:cs="Open Sans"/>
          <w:color w:val="32353E"/>
          <w:lang w:eastAsia="es-ES_tradnl"/>
        </w:rPr>
        <w:br/>
      </w:r>
      <w:r w:rsidRPr="00B11AEB">
        <w:rPr>
          <w:rFonts w:ascii="Open Sans" w:eastAsia="Times New Roman" w:hAnsi="Open Sans" w:cs="Open Sans"/>
          <w:color w:val="32353E"/>
          <w:lang w:eastAsia="es-ES_tradnl"/>
        </w:rPr>
        <w:br/>
      </w:r>
      <w:r w:rsidRPr="00B11AEB">
        <w:rPr>
          <w:rFonts w:ascii="Open Sans" w:eastAsia="Times New Roman" w:hAnsi="Open Sans" w:cs="Open Sans"/>
          <w:i/>
          <w:iCs/>
          <w:color w:val="32353E"/>
          <w:lang w:eastAsia="es-ES_tradnl"/>
        </w:rPr>
        <w:t>“Alan Stephens”</w:t>
      </w:r>
      <w:r w:rsidRPr="00B11AEB">
        <w:rPr>
          <w:rFonts w:ascii="Open Sans" w:eastAsia="Times New Roman" w:hAnsi="Open Sans" w:cs="Open Sans"/>
          <w:color w:val="32353E"/>
          <w:lang w:eastAsia="es-ES_tradnl"/>
        </w:rPr>
        <w:br/>
      </w:r>
      <w:r w:rsidRPr="00B11AEB">
        <w:rPr>
          <w:rFonts w:ascii="Open Sans" w:eastAsia="Times New Roman" w:hAnsi="Open Sans" w:cs="Open Sans"/>
          <w:b/>
          <w:bCs/>
          <w:color w:val="32353E"/>
          <w:lang w:eastAsia="es-ES_tradnl"/>
        </w:rPr>
        <w:t>Alan Stephens</w:t>
      </w:r>
      <w:r w:rsidRPr="00B11AEB">
        <w:rPr>
          <w:rFonts w:ascii="Open Sans" w:eastAsia="Times New Roman" w:hAnsi="Open Sans" w:cs="Open Sans"/>
          <w:b/>
          <w:bCs/>
          <w:color w:val="32353E"/>
          <w:lang w:eastAsia="es-ES_tradnl"/>
        </w:rPr>
        <w:br/>
        <w:t>President and CEO</w:t>
      </w:r>
      <w:r w:rsidRPr="00B11AEB">
        <w:rPr>
          <w:rFonts w:ascii="Open Sans" w:eastAsia="Times New Roman" w:hAnsi="Open Sans" w:cs="Open Sans"/>
          <w:color w:val="32353E"/>
          <w:lang w:eastAsia="es-ES_tradnl"/>
        </w:rPr>
        <w:br/>
      </w:r>
      <w:r w:rsidRPr="00B11AEB">
        <w:rPr>
          <w:rFonts w:ascii="Open Sans" w:eastAsia="Times New Roman" w:hAnsi="Open Sans" w:cs="Open Sans"/>
          <w:color w:val="32353E"/>
          <w:lang w:eastAsia="es-ES_tradnl"/>
        </w:rPr>
        <w:br/>
      </w:r>
      <w:r w:rsidRPr="00B11AEB">
        <w:rPr>
          <w:rFonts w:ascii="Open Sans" w:eastAsia="Times New Roman" w:hAnsi="Open Sans" w:cs="Open Sans"/>
          <w:color w:val="32353E"/>
          <w:lang w:eastAsia="es-ES_tradnl"/>
        </w:rPr>
        <w:br/>
      </w:r>
      <w:r w:rsidRPr="00B11AEB">
        <w:rPr>
          <w:rFonts w:ascii="Open Sans" w:eastAsia="Times New Roman" w:hAnsi="Open Sans" w:cs="Open Sans"/>
          <w:b/>
          <w:bCs/>
          <w:color w:val="32353E"/>
          <w:lang w:eastAsia="es-ES_tradnl"/>
        </w:rPr>
        <w:t>About Marimaca Copper Corp.:</w:t>
      </w:r>
      <w:r w:rsidRPr="00B11AEB">
        <w:rPr>
          <w:rFonts w:ascii="Open Sans" w:eastAsia="Times New Roman" w:hAnsi="Open Sans" w:cs="Open Sans"/>
          <w:color w:val="32353E"/>
          <w:lang w:eastAsia="es-ES_tradnl"/>
        </w:rPr>
        <w:br/>
        <w:t>The Company was founded with the goal of building a mining company focused on medium-sized base and precious metals deposits in Latin America. The Company intends to achieve this through the exploration for, and acquisition of, projects that can be developed and placed into production. Coro’s properties include the advanced Berta copper leach project and the Payen, El Desesperado, Llancahue, and Celeste copper exploration properties, all located in Chile, and the advanced San Jorge copper-gold project, located in Argentina. Benton Capital Corp. owns ~42% of the Company.</w:t>
      </w:r>
      <w:r w:rsidRPr="00B11AEB">
        <w:rPr>
          <w:rFonts w:ascii="Open Sans" w:eastAsia="Times New Roman" w:hAnsi="Open Sans" w:cs="Open Sans"/>
          <w:color w:val="32353E"/>
          <w:lang w:eastAsia="es-ES_tradnl"/>
        </w:rPr>
        <w:br/>
      </w:r>
      <w:r w:rsidRPr="00B11AEB">
        <w:rPr>
          <w:rFonts w:ascii="Open Sans" w:eastAsia="Times New Roman" w:hAnsi="Open Sans" w:cs="Open Sans"/>
          <w:color w:val="32353E"/>
          <w:lang w:eastAsia="es-ES_tradnl"/>
        </w:rPr>
        <w:br/>
      </w:r>
      <w:r w:rsidRPr="00B11AEB">
        <w:rPr>
          <w:rFonts w:ascii="Open Sans" w:eastAsia="Times New Roman" w:hAnsi="Open Sans" w:cs="Open Sans"/>
          <w:b/>
          <w:bCs/>
          <w:color w:val="32353E"/>
          <w:lang w:eastAsia="es-ES_tradnl"/>
        </w:rPr>
        <w:t>For further information please visit the Company’s website at </w:t>
      </w:r>
      <w:hyperlink r:id="rId5" w:tgtFrame="_blank" w:history="1">
        <w:r w:rsidRPr="00B11AEB">
          <w:rPr>
            <w:rFonts w:ascii="Open Sans" w:eastAsia="Times New Roman" w:hAnsi="Open Sans" w:cs="Open Sans"/>
            <w:b/>
            <w:bCs/>
            <w:color w:val="88300C"/>
            <w:u w:val="single"/>
            <w:lang w:eastAsia="es-ES_tradnl"/>
          </w:rPr>
          <w:t>www.coromining.com</w:t>
        </w:r>
      </w:hyperlink>
      <w:r w:rsidRPr="00B11AEB">
        <w:rPr>
          <w:rFonts w:ascii="Open Sans" w:eastAsia="Times New Roman" w:hAnsi="Open Sans" w:cs="Open Sans"/>
          <w:b/>
          <w:bCs/>
          <w:color w:val="32353E"/>
          <w:lang w:eastAsia="es-ES_tradnl"/>
        </w:rPr>
        <w:t> or contact Michael Philpot, Executive Vice-President at (604) 682 5546 or </w:t>
      </w:r>
      <w:hyperlink r:id="rId6" w:history="1">
        <w:r w:rsidRPr="00B11AEB">
          <w:rPr>
            <w:rFonts w:ascii="Open Sans" w:eastAsia="Times New Roman" w:hAnsi="Open Sans" w:cs="Open Sans"/>
            <w:b/>
            <w:bCs/>
            <w:color w:val="88300C"/>
            <w:u w:val="single"/>
            <w:lang w:eastAsia="es-ES_tradnl"/>
          </w:rPr>
          <w:t>investor.info@coromining.com</w:t>
        </w:r>
      </w:hyperlink>
      <w:r w:rsidRPr="00B11AEB">
        <w:rPr>
          <w:rFonts w:ascii="Open Sans" w:eastAsia="Times New Roman" w:hAnsi="Open Sans" w:cs="Open Sans"/>
          <w:color w:val="32353E"/>
          <w:lang w:eastAsia="es-ES_tradnl"/>
        </w:rPr>
        <w:br/>
      </w:r>
      <w:r w:rsidRPr="00B11AEB">
        <w:rPr>
          <w:rFonts w:ascii="Open Sans" w:eastAsia="Times New Roman" w:hAnsi="Open Sans" w:cs="Open Sans"/>
          <w:color w:val="32353E"/>
          <w:lang w:eastAsia="es-ES_tradnl"/>
        </w:rPr>
        <w:br/>
      </w:r>
      <w:r w:rsidRPr="00B11AEB">
        <w:rPr>
          <w:rFonts w:ascii="Open Sans" w:eastAsia="Times New Roman" w:hAnsi="Open Sans" w:cs="Open Sans"/>
          <w:b/>
          <w:bCs/>
          <w:color w:val="32353E"/>
          <w:sz w:val="19"/>
          <w:szCs w:val="19"/>
          <w:lang w:eastAsia="es-ES_tradnl"/>
        </w:rPr>
        <w:t>Forward Looking Statements</w:t>
      </w:r>
      <w:r w:rsidRPr="00B11AEB">
        <w:rPr>
          <w:rFonts w:ascii="Open Sans" w:eastAsia="Times New Roman" w:hAnsi="Open Sans" w:cs="Open Sans"/>
          <w:color w:val="32353E"/>
          <w:sz w:val="19"/>
          <w:szCs w:val="19"/>
          <w:lang w:eastAsia="es-ES_tradnl"/>
        </w:rPr>
        <w:br/>
      </w:r>
      <w:r w:rsidRPr="00B11AEB">
        <w:rPr>
          <w:rFonts w:ascii="Open Sans" w:eastAsia="Times New Roman" w:hAnsi="Open Sans" w:cs="Open Sans"/>
          <w:i/>
          <w:iCs/>
          <w:color w:val="32353E"/>
          <w:sz w:val="19"/>
          <w:szCs w:val="19"/>
          <w:lang w:eastAsia="es-ES_tradnl"/>
        </w:rPr>
        <w:t>Certain statements contained in this press release constitute forward-looking information within the meaning of applicable securities laws. These forward looking statements relate to future events or the Company’s future performance, business prospects or opportunities including, without limitation, statements relating to the completion of the Private Placement and the use of the net proceeds of the Private Placement. The Company believes that the expectations reflected in such forward looking information are reasonable, but no assurance can be given that these expectations will prove to be correct and such forward-looking information should not be unduly relied upon. These statements speak only as of the date of this press release. Forward looking information involves risks and uncertainties which may cause actual results to be materially different from those expressed or implied by such forward looking information. Such risk and uncertainties relate to, among other thing, completion of all conditions to the Private Placement, the ability to complete the Private Placement and management’s discretion to reallocate the net proceeds of the Private Placement. The Company does not intend, and does not assume any obligation, to update any forward-looking information except as required by law.</w:t>
      </w:r>
    </w:p>
    <w:p w:rsidR="00FB1BC6" w:rsidRDefault="00FB1BC6" w:rsidP="00B11AEB">
      <w:pPr>
        <w:shd w:val="clear" w:color="auto" w:fill="F8F9FA"/>
        <w:spacing w:before="100" w:beforeAutospacing="1" w:after="100" w:afterAutospacing="1"/>
      </w:pPr>
    </w:p>
    <w:sectPr w:rsidR="00FB1BC6" w:rsidSect="00DD5C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2342F"/>
    <w:multiLevelType w:val="multilevel"/>
    <w:tmpl w:val="6794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C6"/>
    <w:rsid w:val="00117821"/>
    <w:rsid w:val="005C437A"/>
    <w:rsid w:val="00750D13"/>
    <w:rsid w:val="00B11AEB"/>
    <w:rsid w:val="00D61A5C"/>
    <w:rsid w:val="00DD5C6F"/>
    <w:rsid w:val="00E1000E"/>
    <w:rsid w:val="00FB1B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49F35C"/>
  <w15:chartTrackingRefBased/>
  <w15:docId w15:val="{43A345B6-9C1E-4440-9AD7-2BF61F50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B1BC6"/>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1BC6"/>
    <w:rPr>
      <w:rFonts w:ascii="Times New Roman" w:eastAsia="Times New Roman" w:hAnsi="Times New Roman" w:cs="Times New Roman"/>
      <w:b/>
      <w:bCs/>
      <w:kern w:val="36"/>
      <w:sz w:val="48"/>
      <w:szCs w:val="48"/>
      <w:lang w:eastAsia="es-ES_tradnl"/>
    </w:rPr>
  </w:style>
  <w:style w:type="character" w:styleId="nfasis">
    <w:name w:val="Emphasis"/>
    <w:basedOn w:val="Fuentedeprrafopredeter"/>
    <w:uiPriority w:val="20"/>
    <w:qFormat/>
    <w:rsid w:val="00FB1BC6"/>
    <w:rPr>
      <w:i/>
      <w:iCs/>
    </w:rPr>
  </w:style>
  <w:style w:type="character" w:styleId="Hipervnculo">
    <w:name w:val="Hyperlink"/>
    <w:basedOn w:val="Fuentedeprrafopredeter"/>
    <w:uiPriority w:val="99"/>
    <w:semiHidden/>
    <w:unhideWhenUsed/>
    <w:rsid w:val="00FB1BC6"/>
    <w:rPr>
      <w:color w:val="0000FF"/>
      <w:u w:val="single"/>
    </w:rPr>
  </w:style>
  <w:style w:type="paragraph" w:styleId="NormalWeb">
    <w:name w:val="Normal (Web)"/>
    <w:basedOn w:val="Normal"/>
    <w:uiPriority w:val="99"/>
    <w:semiHidden/>
    <w:unhideWhenUsed/>
    <w:rsid w:val="00D61A5C"/>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2891">
      <w:bodyDiv w:val="1"/>
      <w:marLeft w:val="0"/>
      <w:marRight w:val="0"/>
      <w:marTop w:val="0"/>
      <w:marBottom w:val="0"/>
      <w:divBdr>
        <w:top w:val="none" w:sz="0" w:space="0" w:color="auto"/>
        <w:left w:val="none" w:sz="0" w:space="0" w:color="auto"/>
        <w:bottom w:val="none" w:sz="0" w:space="0" w:color="auto"/>
        <w:right w:val="none" w:sz="0" w:space="0" w:color="auto"/>
      </w:divBdr>
    </w:div>
    <w:div w:id="217592145">
      <w:bodyDiv w:val="1"/>
      <w:marLeft w:val="0"/>
      <w:marRight w:val="0"/>
      <w:marTop w:val="0"/>
      <w:marBottom w:val="0"/>
      <w:divBdr>
        <w:top w:val="none" w:sz="0" w:space="0" w:color="auto"/>
        <w:left w:val="none" w:sz="0" w:space="0" w:color="auto"/>
        <w:bottom w:val="none" w:sz="0" w:space="0" w:color="auto"/>
        <w:right w:val="none" w:sz="0" w:space="0" w:color="auto"/>
      </w:divBdr>
    </w:div>
    <w:div w:id="327291370">
      <w:bodyDiv w:val="1"/>
      <w:marLeft w:val="0"/>
      <w:marRight w:val="0"/>
      <w:marTop w:val="0"/>
      <w:marBottom w:val="0"/>
      <w:divBdr>
        <w:top w:val="none" w:sz="0" w:space="0" w:color="auto"/>
        <w:left w:val="none" w:sz="0" w:space="0" w:color="auto"/>
        <w:bottom w:val="none" w:sz="0" w:space="0" w:color="auto"/>
        <w:right w:val="none" w:sz="0" w:space="0" w:color="auto"/>
      </w:divBdr>
    </w:div>
    <w:div w:id="474758381">
      <w:bodyDiv w:val="1"/>
      <w:marLeft w:val="0"/>
      <w:marRight w:val="0"/>
      <w:marTop w:val="0"/>
      <w:marBottom w:val="0"/>
      <w:divBdr>
        <w:top w:val="none" w:sz="0" w:space="0" w:color="auto"/>
        <w:left w:val="none" w:sz="0" w:space="0" w:color="auto"/>
        <w:bottom w:val="none" w:sz="0" w:space="0" w:color="auto"/>
        <w:right w:val="none" w:sz="0" w:space="0" w:color="auto"/>
      </w:divBdr>
    </w:div>
    <w:div w:id="784928749">
      <w:bodyDiv w:val="1"/>
      <w:marLeft w:val="0"/>
      <w:marRight w:val="0"/>
      <w:marTop w:val="0"/>
      <w:marBottom w:val="0"/>
      <w:divBdr>
        <w:top w:val="none" w:sz="0" w:space="0" w:color="auto"/>
        <w:left w:val="none" w:sz="0" w:space="0" w:color="auto"/>
        <w:bottom w:val="none" w:sz="0" w:space="0" w:color="auto"/>
        <w:right w:val="none" w:sz="0" w:space="0" w:color="auto"/>
      </w:divBdr>
    </w:div>
    <w:div w:id="885070569">
      <w:bodyDiv w:val="1"/>
      <w:marLeft w:val="0"/>
      <w:marRight w:val="0"/>
      <w:marTop w:val="0"/>
      <w:marBottom w:val="0"/>
      <w:divBdr>
        <w:top w:val="none" w:sz="0" w:space="0" w:color="auto"/>
        <w:left w:val="none" w:sz="0" w:space="0" w:color="auto"/>
        <w:bottom w:val="none" w:sz="0" w:space="0" w:color="auto"/>
        <w:right w:val="none" w:sz="0" w:space="0" w:color="auto"/>
      </w:divBdr>
    </w:div>
    <w:div w:id="942689129">
      <w:bodyDiv w:val="1"/>
      <w:marLeft w:val="0"/>
      <w:marRight w:val="0"/>
      <w:marTop w:val="0"/>
      <w:marBottom w:val="0"/>
      <w:divBdr>
        <w:top w:val="none" w:sz="0" w:space="0" w:color="auto"/>
        <w:left w:val="none" w:sz="0" w:space="0" w:color="auto"/>
        <w:bottom w:val="none" w:sz="0" w:space="0" w:color="auto"/>
        <w:right w:val="none" w:sz="0" w:space="0" w:color="auto"/>
      </w:divBdr>
    </w:div>
    <w:div w:id="1171529909">
      <w:bodyDiv w:val="1"/>
      <w:marLeft w:val="0"/>
      <w:marRight w:val="0"/>
      <w:marTop w:val="0"/>
      <w:marBottom w:val="0"/>
      <w:divBdr>
        <w:top w:val="none" w:sz="0" w:space="0" w:color="auto"/>
        <w:left w:val="none" w:sz="0" w:space="0" w:color="auto"/>
        <w:bottom w:val="none" w:sz="0" w:space="0" w:color="auto"/>
        <w:right w:val="none" w:sz="0" w:space="0" w:color="auto"/>
      </w:divBdr>
    </w:div>
    <w:div w:id="1614745136">
      <w:bodyDiv w:val="1"/>
      <w:marLeft w:val="0"/>
      <w:marRight w:val="0"/>
      <w:marTop w:val="0"/>
      <w:marBottom w:val="0"/>
      <w:divBdr>
        <w:top w:val="none" w:sz="0" w:space="0" w:color="auto"/>
        <w:left w:val="none" w:sz="0" w:space="0" w:color="auto"/>
        <w:bottom w:val="none" w:sz="0" w:space="0" w:color="auto"/>
        <w:right w:val="none" w:sz="0" w:space="0" w:color="auto"/>
      </w:divBdr>
    </w:div>
    <w:div w:id="1841382320">
      <w:bodyDiv w:val="1"/>
      <w:marLeft w:val="0"/>
      <w:marRight w:val="0"/>
      <w:marTop w:val="0"/>
      <w:marBottom w:val="0"/>
      <w:divBdr>
        <w:top w:val="none" w:sz="0" w:space="0" w:color="auto"/>
        <w:left w:val="none" w:sz="0" w:space="0" w:color="auto"/>
        <w:bottom w:val="none" w:sz="0" w:space="0" w:color="auto"/>
        <w:right w:val="none" w:sz="0" w:space="0" w:color="auto"/>
      </w:divBdr>
    </w:div>
    <w:div w:id="1892156852">
      <w:bodyDiv w:val="1"/>
      <w:marLeft w:val="0"/>
      <w:marRight w:val="0"/>
      <w:marTop w:val="0"/>
      <w:marBottom w:val="0"/>
      <w:divBdr>
        <w:top w:val="none" w:sz="0" w:space="0" w:color="auto"/>
        <w:left w:val="none" w:sz="0" w:space="0" w:color="auto"/>
        <w:bottom w:val="none" w:sz="0" w:space="0" w:color="auto"/>
        <w:right w:val="none" w:sz="0" w:space="0" w:color="auto"/>
      </w:divBdr>
    </w:div>
    <w:div w:id="19982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estor.info@coromining.com" TargetMode="External"/><Relationship Id="rId5" Type="http://schemas.openxmlformats.org/officeDocument/2006/relationships/hyperlink" Target="https://www.coromining.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3320</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Vilaxa</dc:creator>
  <cp:keywords/>
  <dc:description/>
  <cp:lastModifiedBy>Felipe Vilaxa</cp:lastModifiedBy>
  <cp:revision>2</cp:revision>
  <dcterms:created xsi:type="dcterms:W3CDTF">2020-09-30T18:36:00Z</dcterms:created>
  <dcterms:modified xsi:type="dcterms:W3CDTF">2020-09-30T18:36:00Z</dcterms:modified>
</cp:coreProperties>
</file>